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AC68AC" w14:paraId="6000D212" w14:textId="77777777" w:rsidTr="00AD33A8">
        <w:trPr>
          <w:trHeight w:val="282"/>
        </w:trPr>
        <w:tc>
          <w:tcPr>
            <w:tcW w:w="500" w:type="dxa"/>
            <w:vMerge w:val="restart"/>
            <w:tcBorders>
              <w:bottom w:val="nil"/>
            </w:tcBorders>
            <w:textDirection w:val="btLr"/>
          </w:tcPr>
          <w:p w14:paraId="462AD2C1" w14:textId="77777777" w:rsidR="00041727" w:rsidRPr="00AC68AC"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AC68AC">
              <w:rPr>
                <w:color w:val="365F91" w:themeColor="accent1" w:themeShade="BF"/>
                <w:sz w:val="10"/>
                <w:szCs w:val="10"/>
                <w:lang w:val="es-ES" w:eastAsia="zh-CN"/>
              </w:rPr>
              <w:t>TIEMPO</w:t>
            </w:r>
            <w:r w:rsidR="00041727" w:rsidRPr="00AC68AC">
              <w:rPr>
                <w:color w:val="365F91" w:themeColor="accent1" w:themeShade="BF"/>
                <w:sz w:val="10"/>
                <w:szCs w:val="10"/>
                <w:lang w:val="es-ES" w:eastAsia="zh-CN"/>
              </w:rPr>
              <w:t xml:space="preserve"> CLIMA </w:t>
            </w:r>
            <w:r w:rsidRPr="00AC68AC">
              <w:rPr>
                <w:color w:val="365F91" w:themeColor="accent1" w:themeShade="BF"/>
                <w:sz w:val="10"/>
                <w:szCs w:val="10"/>
                <w:lang w:val="es-ES" w:eastAsia="zh-CN"/>
              </w:rPr>
              <w:t>AGUA</w:t>
            </w:r>
          </w:p>
        </w:tc>
        <w:tc>
          <w:tcPr>
            <w:tcW w:w="6852" w:type="dxa"/>
            <w:vMerge w:val="restart"/>
          </w:tcPr>
          <w:p w14:paraId="73E404DC" w14:textId="77777777" w:rsidR="00041727" w:rsidRPr="00AC68AC" w:rsidRDefault="00041727" w:rsidP="00993581">
            <w:pPr>
              <w:tabs>
                <w:tab w:val="left" w:pos="6946"/>
              </w:tabs>
              <w:suppressAutoHyphens/>
              <w:spacing w:after="120" w:line="252" w:lineRule="auto"/>
              <w:ind w:left="1134"/>
              <w:jc w:val="left"/>
              <w:rPr>
                <w:rStyle w:val="StyleComplex11ptBoldAccent1"/>
                <w:lang w:val="es-ES"/>
              </w:rPr>
            </w:pPr>
            <w:r w:rsidRPr="00AC68AC">
              <w:rPr>
                <w:noProof/>
                <w:color w:val="365F91" w:themeColor="accent1" w:themeShade="BF"/>
                <w:szCs w:val="22"/>
                <w:lang w:val="es-ES" w:eastAsia="zh-CN"/>
              </w:rPr>
              <w:drawing>
                <wp:anchor distT="0" distB="0" distL="114300" distR="114300" simplePos="0" relativeHeight="251664896" behindDoc="1" locked="1" layoutInCell="1" allowOverlap="1" wp14:anchorId="7F3D32C2" wp14:editId="69D132C9">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AC68AC">
              <w:rPr>
                <w:rStyle w:val="StyleComplex11ptBoldAccent1"/>
                <w:lang w:val="es-ES"/>
              </w:rPr>
              <w:t>Organización Meteorológica Mundial</w:t>
            </w:r>
          </w:p>
          <w:p w14:paraId="0D9B6875" w14:textId="77777777" w:rsidR="00041727" w:rsidRPr="00AC68AC"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AC68AC">
              <w:rPr>
                <w:rFonts w:cs="Tahoma"/>
                <w:b/>
                <w:color w:val="365F91" w:themeColor="accent1" w:themeShade="BF"/>
                <w:spacing w:val="-2"/>
                <w:szCs w:val="22"/>
                <w:lang w:val="es-ES"/>
              </w:rPr>
              <w:t>CONSEJO EJECUTIVO</w:t>
            </w:r>
          </w:p>
          <w:p w14:paraId="1E02FFC9" w14:textId="77777777" w:rsidR="00041727" w:rsidRPr="00AC68AC"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AC68AC">
              <w:rPr>
                <w:rFonts w:cstheme="minorBidi"/>
                <w:b/>
                <w:snapToGrid w:val="0"/>
                <w:color w:val="365F91" w:themeColor="accent1" w:themeShade="BF"/>
                <w:szCs w:val="22"/>
                <w:lang w:val="es-ES"/>
              </w:rPr>
              <w:t xml:space="preserve">Septuagésima </w:t>
            </w:r>
            <w:r w:rsidR="00581CFE" w:rsidRPr="00AC68AC">
              <w:rPr>
                <w:rFonts w:cstheme="minorBidi"/>
                <w:b/>
                <w:snapToGrid w:val="0"/>
                <w:color w:val="365F91" w:themeColor="accent1" w:themeShade="BF"/>
                <w:szCs w:val="22"/>
                <w:lang w:val="es-ES"/>
              </w:rPr>
              <w:t>sexta</w:t>
            </w:r>
            <w:r w:rsidRPr="00AC68AC">
              <w:rPr>
                <w:rFonts w:cstheme="minorBidi"/>
                <w:b/>
                <w:snapToGrid w:val="0"/>
                <w:color w:val="365F91" w:themeColor="accent1" w:themeShade="BF"/>
                <w:szCs w:val="22"/>
                <w:lang w:val="es-ES"/>
              </w:rPr>
              <w:t xml:space="preserve"> reunión</w:t>
            </w:r>
            <w:r w:rsidR="00041727" w:rsidRPr="00AC68AC">
              <w:rPr>
                <w:rFonts w:cstheme="minorBidi"/>
                <w:b/>
                <w:snapToGrid w:val="0"/>
                <w:color w:val="365F91" w:themeColor="accent1" w:themeShade="BF"/>
                <w:szCs w:val="22"/>
                <w:lang w:val="es-ES"/>
              </w:rPr>
              <w:br/>
            </w:r>
            <w:r w:rsidR="00447D93" w:rsidRPr="00AC68AC">
              <w:rPr>
                <w:snapToGrid w:val="0"/>
                <w:color w:val="365F91" w:themeColor="accent1" w:themeShade="BF"/>
                <w:szCs w:val="22"/>
                <w:lang w:val="es-ES"/>
              </w:rPr>
              <w:t xml:space="preserve">Ginebra, </w:t>
            </w:r>
            <w:r w:rsidR="00DA4CFF" w:rsidRPr="00AC68AC">
              <w:rPr>
                <w:snapToGrid w:val="0"/>
                <w:color w:val="365F91" w:themeColor="accent1" w:themeShade="BF"/>
                <w:szCs w:val="22"/>
                <w:lang w:val="es-ES"/>
              </w:rPr>
              <w:t>2</w:t>
            </w:r>
            <w:r w:rsidR="00581CFE" w:rsidRPr="00AC68AC">
              <w:rPr>
                <w:snapToGrid w:val="0"/>
                <w:color w:val="365F91" w:themeColor="accent1" w:themeShade="BF"/>
                <w:szCs w:val="22"/>
                <w:lang w:val="es-ES"/>
              </w:rPr>
              <w:t>7 de febrero</w:t>
            </w:r>
            <w:r w:rsidR="00A41E35" w:rsidRPr="00AC68AC">
              <w:rPr>
                <w:snapToGrid w:val="0"/>
                <w:color w:val="365F91" w:themeColor="accent1" w:themeShade="BF"/>
                <w:szCs w:val="22"/>
                <w:lang w:val="es-ES"/>
              </w:rPr>
              <w:t xml:space="preserve"> </w:t>
            </w:r>
            <w:r w:rsidRPr="00AC68AC">
              <w:rPr>
                <w:snapToGrid w:val="0"/>
                <w:color w:val="365F91" w:themeColor="accent1" w:themeShade="BF"/>
                <w:szCs w:val="22"/>
                <w:lang w:val="es-ES"/>
              </w:rPr>
              <w:t>a</w:t>
            </w:r>
            <w:r w:rsidR="00A41E35" w:rsidRPr="00AC68AC">
              <w:rPr>
                <w:snapToGrid w:val="0"/>
                <w:color w:val="365F91" w:themeColor="accent1" w:themeShade="BF"/>
                <w:szCs w:val="22"/>
                <w:lang w:val="es-ES"/>
              </w:rPr>
              <w:t xml:space="preserve"> </w:t>
            </w:r>
            <w:r w:rsidR="00581CFE" w:rsidRPr="00AC68AC">
              <w:rPr>
                <w:snapToGrid w:val="0"/>
                <w:color w:val="365F91" w:themeColor="accent1" w:themeShade="BF"/>
                <w:szCs w:val="22"/>
                <w:lang w:val="es-ES"/>
              </w:rPr>
              <w:t>3</w:t>
            </w:r>
            <w:r w:rsidR="00A41E35" w:rsidRPr="00AC68AC">
              <w:rPr>
                <w:snapToGrid w:val="0"/>
                <w:color w:val="365F91" w:themeColor="accent1" w:themeShade="BF"/>
                <w:szCs w:val="22"/>
                <w:lang w:val="es-ES"/>
              </w:rPr>
              <w:t xml:space="preserve"> </w:t>
            </w:r>
            <w:r w:rsidRPr="00AC68AC">
              <w:rPr>
                <w:snapToGrid w:val="0"/>
                <w:color w:val="365F91" w:themeColor="accent1" w:themeShade="BF"/>
                <w:szCs w:val="22"/>
                <w:lang w:val="es-ES"/>
              </w:rPr>
              <w:t xml:space="preserve">de </w:t>
            </w:r>
            <w:r w:rsidR="00581CFE" w:rsidRPr="00AC68AC">
              <w:rPr>
                <w:snapToGrid w:val="0"/>
                <w:color w:val="365F91" w:themeColor="accent1" w:themeShade="BF"/>
                <w:szCs w:val="22"/>
                <w:lang w:val="es-ES"/>
              </w:rPr>
              <w:t xml:space="preserve">marzo </w:t>
            </w:r>
            <w:r w:rsidRPr="00AC68AC">
              <w:rPr>
                <w:snapToGrid w:val="0"/>
                <w:color w:val="365F91" w:themeColor="accent1" w:themeShade="BF"/>
                <w:szCs w:val="22"/>
                <w:lang w:val="es-ES"/>
              </w:rPr>
              <w:t>de</w:t>
            </w:r>
            <w:r w:rsidR="00A41E35" w:rsidRPr="00AC68AC">
              <w:rPr>
                <w:snapToGrid w:val="0"/>
                <w:color w:val="365F91" w:themeColor="accent1" w:themeShade="BF"/>
                <w:szCs w:val="22"/>
                <w:lang w:val="es-ES"/>
              </w:rPr>
              <w:t xml:space="preserve"> 202</w:t>
            </w:r>
            <w:r w:rsidR="00581CFE" w:rsidRPr="00AC68AC">
              <w:rPr>
                <w:snapToGrid w:val="0"/>
                <w:color w:val="365F91" w:themeColor="accent1" w:themeShade="BF"/>
                <w:szCs w:val="22"/>
                <w:lang w:val="es-ES"/>
              </w:rPr>
              <w:t>3</w:t>
            </w:r>
          </w:p>
        </w:tc>
        <w:tc>
          <w:tcPr>
            <w:tcW w:w="2962" w:type="dxa"/>
          </w:tcPr>
          <w:p w14:paraId="741B8D18" w14:textId="4FA55E87" w:rsidR="00041727" w:rsidRPr="00AC68AC" w:rsidRDefault="0024027B" w:rsidP="00F61675">
            <w:pPr>
              <w:tabs>
                <w:tab w:val="clear" w:pos="1134"/>
              </w:tabs>
              <w:spacing w:after="60"/>
              <w:ind w:right="-108"/>
              <w:jc w:val="right"/>
              <w:rPr>
                <w:rFonts w:cs="Tahoma"/>
                <w:b/>
                <w:bCs/>
                <w:color w:val="365F91" w:themeColor="accent1" w:themeShade="BF"/>
                <w:szCs w:val="22"/>
                <w:lang w:val="es-ES"/>
              </w:rPr>
            </w:pPr>
            <w:r w:rsidRPr="00AC68AC">
              <w:rPr>
                <w:rFonts w:cs="Tahoma"/>
                <w:b/>
                <w:bCs/>
                <w:color w:val="365F91" w:themeColor="accent1" w:themeShade="BF"/>
                <w:szCs w:val="22"/>
                <w:lang w:val="es-ES"/>
              </w:rPr>
              <w:t>EC-7</w:t>
            </w:r>
            <w:r w:rsidR="00581CFE" w:rsidRPr="00AC68AC">
              <w:rPr>
                <w:rFonts w:cs="Tahoma"/>
                <w:b/>
                <w:bCs/>
                <w:color w:val="365F91" w:themeColor="accent1" w:themeShade="BF"/>
                <w:szCs w:val="22"/>
                <w:lang w:val="es-ES"/>
              </w:rPr>
              <w:t>6</w:t>
            </w:r>
            <w:r w:rsidR="00A41E35" w:rsidRPr="00AC68AC">
              <w:rPr>
                <w:rFonts w:cs="Tahoma"/>
                <w:b/>
                <w:bCs/>
                <w:color w:val="365F91" w:themeColor="accent1" w:themeShade="BF"/>
                <w:szCs w:val="22"/>
                <w:lang w:val="es-ES"/>
              </w:rPr>
              <w:t xml:space="preserve">/Doc. </w:t>
            </w:r>
            <w:r w:rsidR="00C46BD6" w:rsidRPr="00AC68AC">
              <w:rPr>
                <w:rFonts w:cs="Tahoma"/>
                <w:b/>
                <w:bCs/>
                <w:color w:val="365F91" w:themeColor="accent1" w:themeShade="BF"/>
                <w:szCs w:val="22"/>
                <w:lang w:val="es-ES"/>
              </w:rPr>
              <w:t xml:space="preserve">3.2(22) </w:t>
            </w:r>
          </w:p>
        </w:tc>
      </w:tr>
      <w:tr w:rsidR="00041727" w:rsidRPr="00AC68AC" w14:paraId="14A30B83" w14:textId="77777777" w:rsidTr="00AD33A8">
        <w:trPr>
          <w:trHeight w:val="730"/>
        </w:trPr>
        <w:tc>
          <w:tcPr>
            <w:tcW w:w="500" w:type="dxa"/>
            <w:vMerge/>
            <w:tcBorders>
              <w:bottom w:val="nil"/>
            </w:tcBorders>
          </w:tcPr>
          <w:p w14:paraId="1A87DC3A" w14:textId="77777777" w:rsidR="00041727" w:rsidRPr="00AC68AC"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69184ED2" w14:textId="77777777" w:rsidR="00041727" w:rsidRPr="00AC68AC"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6494BF81" w14:textId="5F51FC78" w:rsidR="00041727" w:rsidRPr="00AC68AC" w:rsidRDefault="00527225" w:rsidP="00527225">
            <w:pPr>
              <w:pStyle w:val="StyleComplexTahomaComplex11ptAccent1RightAfter-"/>
              <w:rPr>
                <w:lang w:val="es-ES"/>
              </w:rPr>
            </w:pPr>
            <w:r w:rsidRPr="00AC68AC">
              <w:rPr>
                <w:lang w:val="es-ES"/>
              </w:rPr>
              <w:t>Presentado por</w:t>
            </w:r>
            <w:r w:rsidR="00041727" w:rsidRPr="00AC68AC">
              <w:rPr>
                <w:lang w:val="es-ES"/>
              </w:rPr>
              <w:t>:</w:t>
            </w:r>
            <w:r w:rsidR="00041727" w:rsidRPr="00AC68AC">
              <w:rPr>
                <w:lang w:val="es-ES"/>
              </w:rPr>
              <w:br/>
            </w:r>
            <w:r w:rsidR="00C46BD6" w:rsidRPr="00AC68AC">
              <w:rPr>
                <w:bCs/>
                <w:color w:val="365F91"/>
                <w:lang w:val="es-ES"/>
              </w:rPr>
              <w:t>presidente de la INFCOM</w:t>
            </w:r>
          </w:p>
          <w:p w14:paraId="3983A350" w14:textId="77C3A147" w:rsidR="00041727" w:rsidRPr="00AC68AC" w:rsidRDefault="00C46BD6" w:rsidP="00527225">
            <w:pPr>
              <w:pStyle w:val="StyleComplexTahomaComplex11ptAccent1RightAfter-"/>
              <w:rPr>
                <w:lang w:val="es-ES"/>
              </w:rPr>
            </w:pPr>
            <w:r w:rsidRPr="00AC68AC">
              <w:rPr>
                <w:bCs/>
                <w:color w:val="365F91"/>
                <w:lang w:val="es-ES"/>
              </w:rPr>
              <w:t>5</w:t>
            </w:r>
            <w:r w:rsidR="00527225" w:rsidRPr="00AC68AC">
              <w:rPr>
                <w:lang w:val="es-ES"/>
              </w:rPr>
              <w:t>.</w:t>
            </w:r>
            <w:r w:rsidRPr="00AC68AC">
              <w:rPr>
                <w:bCs/>
                <w:color w:val="365F91"/>
                <w:lang w:val="es-ES"/>
              </w:rPr>
              <w:t>I</w:t>
            </w:r>
            <w:r w:rsidR="00A41E35" w:rsidRPr="00AC68AC">
              <w:rPr>
                <w:lang w:val="es-ES"/>
              </w:rPr>
              <w:t>.202</w:t>
            </w:r>
            <w:r w:rsidR="00881D52" w:rsidRPr="00AC68AC">
              <w:rPr>
                <w:lang w:val="es-ES"/>
              </w:rPr>
              <w:t>3</w:t>
            </w:r>
          </w:p>
          <w:p w14:paraId="0A1CF9AD" w14:textId="77777777" w:rsidR="00041727" w:rsidRPr="00AC68AC" w:rsidRDefault="00CF40BF" w:rsidP="002F6DAC">
            <w:pPr>
              <w:tabs>
                <w:tab w:val="clear" w:pos="1134"/>
              </w:tabs>
              <w:spacing w:before="120" w:after="60"/>
              <w:ind w:right="-108"/>
              <w:jc w:val="right"/>
              <w:rPr>
                <w:rFonts w:cs="Tahoma"/>
                <w:b/>
                <w:bCs/>
                <w:color w:val="365F91" w:themeColor="accent1" w:themeShade="BF"/>
                <w:szCs w:val="22"/>
                <w:lang w:val="es-ES"/>
              </w:rPr>
            </w:pPr>
            <w:r w:rsidRPr="00AC68AC">
              <w:rPr>
                <w:rFonts w:cs="Tahoma"/>
                <w:b/>
                <w:bCs/>
                <w:color w:val="365F91" w:themeColor="accent1" w:themeShade="BF"/>
                <w:szCs w:val="22"/>
                <w:lang w:val="es-ES"/>
              </w:rPr>
              <w:t>VERSIÓN 1</w:t>
            </w:r>
          </w:p>
        </w:tc>
      </w:tr>
    </w:tbl>
    <w:p w14:paraId="4DFD53C4" w14:textId="2CD6BA17" w:rsidR="00C4470F" w:rsidRPr="00AC68AC" w:rsidRDefault="001527A3" w:rsidP="00514EAC">
      <w:pPr>
        <w:pStyle w:val="WMOBodyText"/>
        <w:ind w:left="3969" w:hanging="3969"/>
        <w:rPr>
          <w:b/>
          <w:lang w:val="es-ES"/>
        </w:rPr>
      </w:pPr>
      <w:r w:rsidRPr="00AC68AC">
        <w:rPr>
          <w:b/>
          <w:lang w:val="es-ES"/>
        </w:rPr>
        <w:t xml:space="preserve">PUNTO </w:t>
      </w:r>
      <w:r w:rsidR="00C46BD6" w:rsidRPr="00AC68AC">
        <w:rPr>
          <w:b/>
          <w:lang w:val="es-ES"/>
        </w:rPr>
        <w:t>3</w:t>
      </w:r>
      <w:r w:rsidRPr="00AC68AC">
        <w:rPr>
          <w:b/>
          <w:lang w:val="es-ES"/>
        </w:rPr>
        <w:t xml:space="preserve"> DEL ORDEN DEL DÍA:</w:t>
      </w:r>
      <w:r w:rsidR="00A41E35" w:rsidRPr="00AC68AC">
        <w:rPr>
          <w:b/>
          <w:lang w:val="es-ES"/>
        </w:rPr>
        <w:tab/>
      </w:r>
      <w:r w:rsidR="00C46BD6" w:rsidRPr="00AC68AC">
        <w:rPr>
          <w:b/>
          <w:bCs/>
          <w:lang w:val="es-ES"/>
        </w:rPr>
        <w:t xml:space="preserve">APLICACIÓN DE LAS DECISIONES </w:t>
      </w:r>
      <w:r w:rsidR="00C46BD6" w:rsidRPr="00AC68AC">
        <w:rPr>
          <w:b/>
          <w:bCs/>
          <w:lang w:val="es-ES"/>
        </w:rPr>
        <w:br/>
        <w:t>DEL CONGRESO: CUESTIONES TÉCNICAS</w:t>
      </w:r>
      <w:r w:rsidR="00C46BD6" w:rsidRPr="00AC68AC">
        <w:rPr>
          <w:b/>
          <w:lang w:val="es-ES"/>
        </w:rPr>
        <w:t xml:space="preserve"> </w:t>
      </w:r>
    </w:p>
    <w:p w14:paraId="0A83625E" w14:textId="15CC4553" w:rsidR="001527A3" w:rsidRPr="00AC68AC" w:rsidRDefault="001527A3" w:rsidP="001527A3">
      <w:pPr>
        <w:pStyle w:val="WMOBodyText"/>
        <w:ind w:left="3969" w:hanging="3969"/>
        <w:rPr>
          <w:b/>
          <w:lang w:val="es-ES"/>
        </w:rPr>
      </w:pPr>
      <w:r w:rsidRPr="00AC68AC">
        <w:rPr>
          <w:b/>
          <w:lang w:val="es-ES"/>
        </w:rPr>
        <w:t xml:space="preserve">PUNTO </w:t>
      </w:r>
      <w:r w:rsidR="00C46BD6" w:rsidRPr="00AC68AC">
        <w:rPr>
          <w:b/>
          <w:lang w:val="es-ES"/>
        </w:rPr>
        <w:t>3.2</w:t>
      </w:r>
      <w:r w:rsidRPr="00AC68AC">
        <w:rPr>
          <w:b/>
          <w:lang w:val="es-ES"/>
        </w:rPr>
        <w:t>:</w:t>
      </w:r>
      <w:r w:rsidRPr="00AC68AC">
        <w:rPr>
          <w:b/>
          <w:lang w:val="es-ES"/>
        </w:rPr>
        <w:tab/>
      </w:r>
      <w:r w:rsidR="00C46BD6" w:rsidRPr="00AC68AC">
        <w:rPr>
          <w:b/>
          <w:bCs/>
          <w:lang w:val="es-ES"/>
        </w:rPr>
        <w:t xml:space="preserve">Meta a largo plazo 2: Observaciones </w:t>
      </w:r>
      <w:r w:rsidR="00C46BD6" w:rsidRPr="00AC68AC">
        <w:rPr>
          <w:b/>
          <w:bCs/>
          <w:lang w:val="es-ES"/>
        </w:rPr>
        <w:br/>
        <w:t>y predicciones del sistema Tierra</w:t>
      </w:r>
    </w:p>
    <w:p w14:paraId="4E9EE71F" w14:textId="343C3C52" w:rsidR="00814CC6" w:rsidRPr="00AC68AC" w:rsidRDefault="00C46BD6" w:rsidP="00EC7CF5">
      <w:pPr>
        <w:pStyle w:val="Heading1"/>
        <w:spacing w:before="600" w:after="360"/>
        <w:rPr>
          <w:lang w:val="es-ES"/>
        </w:rPr>
      </w:pPr>
      <w:bookmarkStart w:id="0" w:name="_APPENDIX_A:_"/>
      <w:bookmarkEnd w:id="0"/>
      <w:r w:rsidRPr="00AC68AC">
        <w:rPr>
          <w:lang w:val="es-ES"/>
        </w:rPr>
        <w:t>CENTROS REGIONALES DE INSTRUMENTOS</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E91C3C" w14:paraId="0D833748" w14:textId="77777777" w:rsidTr="00E91C3C">
        <w:trPr>
          <w:jc w:val="center"/>
        </w:trPr>
        <w:tc>
          <w:tcPr>
            <w:tcW w:w="9526" w:type="dxa"/>
          </w:tcPr>
          <w:p w14:paraId="41156A1A" w14:textId="77777777" w:rsidR="00EC7CF5" w:rsidRPr="00AC68AC" w:rsidRDefault="00EC7CF5" w:rsidP="003C5AB0">
            <w:pPr>
              <w:pStyle w:val="WMOBodyText"/>
              <w:spacing w:after="240"/>
              <w:jc w:val="center"/>
              <w:rPr>
                <w:b/>
                <w:bCs/>
                <w:sz w:val="22"/>
                <w:szCs w:val="22"/>
                <w:lang w:val="es-ES"/>
              </w:rPr>
            </w:pPr>
            <w:r w:rsidRPr="00AC68AC">
              <w:rPr>
                <w:b/>
                <w:bCs/>
                <w:sz w:val="22"/>
                <w:szCs w:val="22"/>
                <w:lang w:val="es-ES"/>
              </w:rPr>
              <w:t>RESUMEN</w:t>
            </w:r>
          </w:p>
          <w:p w14:paraId="6D94391D" w14:textId="78AA75B3" w:rsidR="00581CFE" w:rsidRPr="00AC68AC" w:rsidRDefault="00581CFE" w:rsidP="00C46BD6">
            <w:pPr>
              <w:pStyle w:val="WMOBodyText"/>
              <w:spacing w:before="160"/>
              <w:jc w:val="left"/>
              <w:rPr>
                <w:lang w:val="es-ES"/>
              </w:rPr>
            </w:pPr>
            <w:r w:rsidRPr="00AC68AC">
              <w:rPr>
                <w:b/>
                <w:bCs/>
                <w:lang w:val="es-ES"/>
              </w:rPr>
              <w:t>Documento presentado por:</w:t>
            </w:r>
            <w:r w:rsidRPr="00AC68AC">
              <w:rPr>
                <w:lang w:val="es-ES"/>
              </w:rPr>
              <w:t xml:space="preserve"> </w:t>
            </w:r>
            <w:r w:rsidR="00C46BD6" w:rsidRPr="00AC68AC">
              <w:rPr>
                <w:lang w:val="es-ES"/>
              </w:rPr>
              <w:t>el presidente de la Comisión de Observaciones, Infraestructura y Sistemas de Información (INFCOM).</w:t>
            </w:r>
          </w:p>
          <w:p w14:paraId="6A600D49" w14:textId="3759EF88" w:rsidR="00581CFE" w:rsidRPr="00AC68AC" w:rsidRDefault="00581CFE" w:rsidP="00581CFE">
            <w:pPr>
              <w:pStyle w:val="WMOBodyText"/>
              <w:spacing w:before="160"/>
              <w:rPr>
                <w:b/>
                <w:bCs/>
                <w:lang w:val="es-ES"/>
              </w:rPr>
            </w:pPr>
            <w:r w:rsidRPr="00AC68AC">
              <w:rPr>
                <w:b/>
                <w:bCs/>
                <w:lang w:val="es-ES"/>
              </w:rPr>
              <w:t xml:space="preserve">Objetivo estratégico para 2020-2023: </w:t>
            </w:r>
            <w:r w:rsidR="00C46BD6" w:rsidRPr="00AC68AC">
              <w:rPr>
                <w:lang w:val="es-ES"/>
              </w:rPr>
              <w:t>2.1.</w:t>
            </w:r>
          </w:p>
          <w:p w14:paraId="01EA9E30" w14:textId="6B5650F5" w:rsidR="00581CFE" w:rsidRPr="00AC68AC" w:rsidRDefault="00581CFE" w:rsidP="00C46BD6">
            <w:pPr>
              <w:pStyle w:val="WMOBodyText"/>
              <w:spacing w:before="160"/>
              <w:jc w:val="left"/>
              <w:rPr>
                <w:lang w:val="es-ES"/>
              </w:rPr>
            </w:pPr>
            <w:r w:rsidRPr="00AC68AC">
              <w:rPr>
                <w:b/>
                <w:bCs/>
                <w:lang w:val="es-ES"/>
              </w:rPr>
              <w:t>Consecuencias financieras y administrativas:</w:t>
            </w:r>
            <w:r w:rsidRPr="00AC68AC">
              <w:rPr>
                <w:lang w:val="es-ES"/>
              </w:rPr>
              <w:t xml:space="preserve"> </w:t>
            </w:r>
            <w:r w:rsidR="00C46BD6" w:rsidRPr="00AC68AC">
              <w:rPr>
                <w:lang w:val="es-ES"/>
              </w:rPr>
              <w:t>dentro de los parámetros del Plan Estratégico y del Plan de Funcionamiento para 2020-2023; se pondrán de manifiesto en el Plan Estratégico y el Plan de Funcionamiento para 2024-2027.</w:t>
            </w:r>
          </w:p>
          <w:p w14:paraId="20C343CC" w14:textId="566F672F" w:rsidR="00581CFE" w:rsidRPr="00AC68AC" w:rsidRDefault="00581CFE" w:rsidP="00581CFE">
            <w:pPr>
              <w:pStyle w:val="WMOBodyText"/>
              <w:spacing w:before="160"/>
              <w:rPr>
                <w:lang w:val="es-ES"/>
              </w:rPr>
            </w:pPr>
            <w:r w:rsidRPr="00AC68AC">
              <w:rPr>
                <w:b/>
                <w:bCs/>
                <w:lang w:val="es-ES"/>
              </w:rPr>
              <w:t>Principales encargados de la ejecución:</w:t>
            </w:r>
            <w:r w:rsidRPr="00AC68AC">
              <w:rPr>
                <w:lang w:val="es-ES"/>
              </w:rPr>
              <w:t xml:space="preserve"> </w:t>
            </w:r>
            <w:r w:rsidR="00C46BD6" w:rsidRPr="00AC68AC">
              <w:rPr>
                <w:lang w:val="es-ES"/>
              </w:rPr>
              <w:t>la INFCOM, en colaboración con las asociaciones regionales y con la Comisión Oceanográfica Intergubernamental (COI) de la Organización de las Naciones Unidas para la Educación, la Ciencia y la Cultura (UNESCO).</w:t>
            </w:r>
          </w:p>
          <w:p w14:paraId="7E0CB0F7" w14:textId="6CE03FF4" w:rsidR="00581CFE" w:rsidRPr="00AC68AC" w:rsidRDefault="00581CFE" w:rsidP="00581CFE">
            <w:pPr>
              <w:pStyle w:val="WMOBodyText"/>
              <w:spacing w:before="160"/>
              <w:rPr>
                <w:lang w:val="es-ES"/>
              </w:rPr>
            </w:pPr>
            <w:r w:rsidRPr="00AC68AC">
              <w:rPr>
                <w:b/>
                <w:bCs/>
                <w:lang w:val="es-ES"/>
              </w:rPr>
              <w:t>Cronograma:</w:t>
            </w:r>
            <w:r w:rsidRPr="00AC68AC">
              <w:rPr>
                <w:lang w:val="es-ES"/>
              </w:rPr>
              <w:t xml:space="preserve"> </w:t>
            </w:r>
            <w:r w:rsidR="00C46BD6" w:rsidRPr="00AC68AC">
              <w:rPr>
                <w:lang w:val="es-ES"/>
              </w:rPr>
              <w:t>2023-2027.</w:t>
            </w:r>
          </w:p>
          <w:p w14:paraId="47EDEBFD" w14:textId="3CDE5D54" w:rsidR="00581CFE" w:rsidRPr="00AC68AC" w:rsidRDefault="00581CFE" w:rsidP="00E91C3C">
            <w:pPr>
              <w:pStyle w:val="WMOBodyText"/>
              <w:spacing w:before="160" w:after="120"/>
              <w:rPr>
                <w:b/>
                <w:bCs/>
                <w:sz w:val="22"/>
                <w:szCs w:val="22"/>
                <w:lang w:val="es-ES"/>
              </w:rPr>
            </w:pPr>
            <w:r w:rsidRPr="00AC68AC">
              <w:rPr>
                <w:b/>
                <w:bCs/>
                <w:lang w:val="es-ES"/>
              </w:rPr>
              <w:t>Medida prevista:</w:t>
            </w:r>
            <w:r w:rsidRPr="00AC68AC">
              <w:rPr>
                <w:lang w:val="es-ES"/>
              </w:rPr>
              <w:t xml:space="preserve"> </w:t>
            </w:r>
            <w:r w:rsidR="00C46BD6" w:rsidRPr="00AC68AC">
              <w:rPr>
                <w:lang w:val="es-ES"/>
              </w:rPr>
              <w:t>examinar la propuesta de proyecto de Resolución 3.2(22)/1 (EC-76).</w:t>
            </w:r>
          </w:p>
        </w:tc>
      </w:tr>
    </w:tbl>
    <w:p w14:paraId="38D0C0FC" w14:textId="77777777" w:rsidR="00B01B02" w:rsidRPr="00AC68AC" w:rsidRDefault="00B01B02" w:rsidP="00EC7CF5">
      <w:pPr>
        <w:pStyle w:val="WMOBodyText"/>
        <w:spacing w:before="0"/>
        <w:rPr>
          <w:lang w:val="es-ES"/>
        </w:rPr>
      </w:pPr>
    </w:p>
    <w:p w14:paraId="3B885080" w14:textId="77777777" w:rsidR="00B01B02" w:rsidRPr="00AC68AC" w:rsidRDefault="00B01B02">
      <w:pPr>
        <w:tabs>
          <w:tab w:val="clear" w:pos="1134"/>
        </w:tabs>
        <w:jc w:val="left"/>
        <w:rPr>
          <w:rFonts w:eastAsia="Verdana" w:cs="Verdana"/>
          <w:caps/>
          <w:kern w:val="32"/>
          <w:sz w:val="24"/>
          <w:szCs w:val="24"/>
          <w:lang w:val="es-ES" w:eastAsia="zh-TW"/>
        </w:rPr>
      </w:pPr>
      <w:r w:rsidRPr="00AC68AC">
        <w:rPr>
          <w:lang w:val="es-ES"/>
        </w:rPr>
        <w:br w:type="page"/>
      </w:r>
    </w:p>
    <w:p w14:paraId="48DA4BF6" w14:textId="77777777" w:rsidR="00C46BD6" w:rsidRPr="00AC68AC" w:rsidRDefault="00C46BD6" w:rsidP="00C46BD6">
      <w:pPr>
        <w:pStyle w:val="Heading1"/>
        <w:rPr>
          <w:lang w:val="es-ES"/>
        </w:rPr>
      </w:pPr>
      <w:r w:rsidRPr="00AC68AC">
        <w:rPr>
          <w:lang w:val="es-ES"/>
        </w:rPr>
        <w:lastRenderedPageBreak/>
        <w:t>CONSIDERACIONES GENERALES</w:t>
      </w:r>
    </w:p>
    <w:p w14:paraId="79A0F647" w14:textId="77777777" w:rsidR="00C46BD6" w:rsidRPr="00AC68AC" w:rsidRDefault="00C46BD6" w:rsidP="00C46BD6">
      <w:pPr>
        <w:pStyle w:val="Heading3"/>
        <w:rPr>
          <w:b w:val="0"/>
          <w:bCs w:val="0"/>
          <w:lang w:val="es-ES"/>
        </w:rPr>
      </w:pPr>
      <w:r w:rsidRPr="00AC68AC">
        <w:rPr>
          <w:lang w:val="es-ES"/>
        </w:rPr>
        <w:t>Información general</w:t>
      </w:r>
    </w:p>
    <w:p w14:paraId="2F1500CC" w14:textId="37166084" w:rsidR="00C46BD6" w:rsidRPr="00AC68AC" w:rsidRDefault="00C46BD6" w:rsidP="00412B52">
      <w:pPr>
        <w:pStyle w:val="WMOBodyText"/>
        <w:tabs>
          <w:tab w:val="left" w:pos="1134"/>
        </w:tabs>
        <w:ind w:hanging="11"/>
        <w:rPr>
          <w:lang w:val="es-ES"/>
        </w:rPr>
      </w:pPr>
      <w:r w:rsidRPr="00AC68AC">
        <w:rPr>
          <w:lang w:val="es-ES"/>
        </w:rPr>
        <w:t>1.</w:t>
      </w:r>
      <w:r w:rsidRPr="00AC68AC">
        <w:rPr>
          <w:lang w:val="es-ES"/>
        </w:rPr>
        <w:tab/>
      </w:r>
      <w:r w:rsidR="00A75DDF" w:rsidRPr="00AC68AC">
        <w:rPr>
          <w:lang w:val="es-ES"/>
        </w:rPr>
        <w:t>L</w:t>
      </w:r>
      <w:r w:rsidRPr="00AC68AC">
        <w:rPr>
          <w:lang w:val="es-ES"/>
        </w:rPr>
        <w:t>a reforma de la Organización Meteorológica Mundial (OMM)</w:t>
      </w:r>
      <w:r w:rsidR="00A75DDF" w:rsidRPr="00AC68AC">
        <w:rPr>
          <w:lang w:val="es-ES"/>
        </w:rPr>
        <w:t xml:space="preserve"> obliga a </w:t>
      </w:r>
      <w:r w:rsidRPr="00AC68AC">
        <w:rPr>
          <w:lang w:val="es-ES"/>
        </w:rPr>
        <w:t xml:space="preserve">modificar determinados procesos de designación y seguimiento de los centros de la OMM </w:t>
      </w:r>
      <w:r w:rsidR="00A75DDF" w:rsidRPr="00AC68AC">
        <w:rPr>
          <w:lang w:val="es-ES"/>
        </w:rPr>
        <w:t xml:space="preserve">para que tengan </w:t>
      </w:r>
      <w:r w:rsidRPr="00AC68AC">
        <w:rPr>
          <w:lang w:val="es-ES"/>
        </w:rPr>
        <w:t xml:space="preserve">en </w:t>
      </w:r>
      <w:r w:rsidRPr="00412B52">
        <w:rPr>
          <w:lang w:val="en-GB"/>
        </w:rPr>
        <w:t>cuenta</w:t>
      </w:r>
      <w:r w:rsidRPr="00AC68AC">
        <w:rPr>
          <w:lang w:val="es-ES"/>
        </w:rPr>
        <w:t xml:space="preserve"> la estructura de las </w:t>
      </w:r>
      <w:r w:rsidR="00A75DDF" w:rsidRPr="00AC68AC">
        <w:rPr>
          <w:lang w:val="es-ES"/>
        </w:rPr>
        <w:t xml:space="preserve">nuevas </w:t>
      </w:r>
      <w:r w:rsidRPr="00AC68AC">
        <w:rPr>
          <w:lang w:val="es-ES"/>
        </w:rPr>
        <w:t>comisiones técnicas.</w:t>
      </w:r>
    </w:p>
    <w:p w14:paraId="53CC6774" w14:textId="13FD8938" w:rsidR="00C46BD6" w:rsidRPr="00AC68AC" w:rsidRDefault="00C46BD6" w:rsidP="00412B52">
      <w:pPr>
        <w:pStyle w:val="WMOBodyText"/>
        <w:tabs>
          <w:tab w:val="left" w:pos="1134"/>
        </w:tabs>
        <w:ind w:hanging="11"/>
        <w:rPr>
          <w:lang w:val="es-ES"/>
        </w:rPr>
      </w:pPr>
      <w:r w:rsidRPr="00AC68AC">
        <w:rPr>
          <w:lang w:val="es-ES"/>
        </w:rPr>
        <w:t>2.</w:t>
      </w:r>
      <w:r w:rsidRPr="00AC68AC">
        <w:rPr>
          <w:lang w:val="es-ES"/>
        </w:rPr>
        <w:tab/>
        <w:t xml:space="preserve">Se reconoce que es preciso seguir trabajando en los procesos de auditoría de esos centros a fin de que estén en consonancia con las prácticas y procedimientos normalizados y recomendados descritos en el </w:t>
      </w:r>
      <w:hyperlink r:id="rId12" w:anchor=".Y8aeYXbMKUk" w:history="1">
        <w:r w:rsidRPr="00AC68AC">
          <w:rPr>
            <w:rStyle w:val="Hyperlink"/>
            <w:i/>
            <w:iCs/>
            <w:lang w:val="es-ES"/>
          </w:rPr>
          <w:t>Reglam</w:t>
        </w:r>
        <w:r w:rsidRPr="00AC68AC">
          <w:rPr>
            <w:rStyle w:val="Hyperlink"/>
            <w:i/>
            <w:iCs/>
            <w:lang w:val="es-ES"/>
          </w:rPr>
          <w:t>e</w:t>
        </w:r>
        <w:r w:rsidRPr="00AC68AC">
          <w:rPr>
            <w:rStyle w:val="Hyperlink"/>
            <w:i/>
            <w:iCs/>
            <w:lang w:val="es-ES"/>
          </w:rPr>
          <w:t>nto Técnico</w:t>
        </w:r>
      </w:hyperlink>
      <w:r w:rsidRPr="00AC68AC">
        <w:rPr>
          <w:lang w:val="es-ES"/>
        </w:rPr>
        <w:t xml:space="preserve"> (OMM-Nº 49), Volumen I. Esta labor está en curso.</w:t>
      </w:r>
    </w:p>
    <w:p w14:paraId="63A9A2B5" w14:textId="0A4C261D" w:rsidR="00C46BD6" w:rsidRPr="00AC68AC" w:rsidRDefault="00C46BD6" w:rsidP="00412B52">
      <w:pPr>
        <w:pStyle w:val="WMOBodyText"/>
        <w:tabs>
          <w:tab w:val="left" w:pos="1134"/>
        </w:tabs>
        <w:ind w:hanging="11"/>
        <w:rPr>
          <w:lang w:val="es-ES"/>
        </w:rPr>
      </w:pPr>
      <w:r w:rsidRPr="00AC68AC">
        <w:rPr>
          <w:lang w:val="es-ES"/>
        </w:rPr>
        <w:t>3.</w:t>
      </w:r>
      <w:r w:rsidRPr="00AC68AC">
        <w:rPr>
          <w:lang w:val="es-ES"/>
        </w:rPr>
        <w:tab/>
        <w:t xml:space="preserve">En la </w:t>
      </w:r>
      <w:hyperlink r:id="rId13" w:anchor="page=35" w:history="1">
        <w:r w:rsidRPr="00AC68AC">
          <w:rPr>
            <w:rStyle w:val="Hyperlink"/>
            <w:lang w:val="es-ES"/>
          </w:rPr>
          <w:t>Resolu</w:t>
        </w:r>
        <w:r w:rsidRPr="00AC68AC">
          <w:rPr>
            <w:rStyle w:val="Hyperlink"/>
            <w:lang w:val="es-ES"/>
          </w:rPr>
          <w:t>c</w:t>
        </w:r>
        <w:r w:rsidRPr="00AC68AC">
          <w:rPr>
            <w:rStyle w:val="Hyperlink"/>
            <w:lang w:val="es-ES"/>
          </w:rPr>
          <w:t>ión 8 (EC-75)</w:t>
        </w:r>
      </w:hyperlink>
      <w:r w:rsidRPr="00AC68AC">
        <w:rPr>
          <w:lang w:val="es-ES"/>
        </w:rPr>
        <w:t xml:space="preserve"> — Examen de las resoluciones y las decisiones anteriores del Consejo Ejecutivo, se puso de relieve la importancia de incluir el contenido de las anteriores resoluciones que debían mantenerse en vigor en el de toda resolución sobre el mismo tema que se aprobase </w:t>
      </w:r>
      <w:r w:rsidRPr="00412B52">
        <w:rPr>
          <w:lang w:val="en-GB"/>
        </w:rPr>
        <w:t>ulteriormente</w:t>
      </w:r>
      <w:r w:rsidRPr="00AC68AC">
        <w:rPr>
          <w:lang w:val="es-ES"/>
        </w:rPr>
        <w:t xml:space="preserve">. Por consiguiente, en </w:t>
      </w:r>
      <w:r w:rsidR="00B60B89" w:rsidRPr="00AC68AC">
        <w:rPr>
          <w:lang w:val="es-ES"/>
        </w:rPr>
        <w:t>e</w:t>
      </w:r>
      <w:r w:rsidRPr="00AC68AC">
        <w:rPr>
          <w:lang w:val="es-ES"/>
        </w:rPr>
        <w:t xml:space="preserve">l proyecto de resolución acerca de los </w:t>
      </w:r>
      <w:r w:rsidR="00B60B89" w:rsidRPr="00AC68AC">
        <w:rPr>
          <w:lang w:val="es-ES"/>
        </w:rPr>
        <w:t>Centros Regionales de Instrumentos (</w:t>
      </w:r>
      <w:r w:rsidRPr="00AC68AC">
        <w:rPr>
          <w:lang w:val="es-ES"/>
        </w:rPr>
        <w:t>CRI</w:t>
      </w:r>
      <w:r w:rsidR="00B60B89" w:rsidRPr="00AC68AC">
        <w:rPr>
          <w:lang w:val="es-ES"/>
        </w:rPr>
        <w:t>)</w:t>
      </w:r>
      <w:r w:rsidRPr="00AC68AC">
        <w:rPr>
          <w:lang w:val="es-ES"/>
        </w:rPr>
        <w:t xml:space="preserve"> se ha incorporado el texto pertinente de la </w:t>
      </w:r>
      <w:hyperlink r:id="rId14" w:anchor="page=365" w:history="1">
        <w:r w:rsidRPr="00AC68AC">
          <w:rPr>
            <w:rStyle w:val="Hyperlink"/>
            <w:lang w:val="es-ES"/>
          </w:rPr>
          <w:t xml:space="preserve">Resolución </w:t>
        </w:r>
        <w:r w:rsidRPr="00AC68AC">
          <w:rPr>
            <w:rStyle w:val="Hyperlink"/>
            <w:lang w:val="es-ES"/>
          </w:rPr>
          <w:t>1</w:t>
        </w:r>
        <w:r w:rsidRPr="00AC68AC">
          <w:rPr>
            <w:rStyle w:val="Hyperlink"/>
            <w:lang w:val="es-ES"/>
          </w:rPr>
          <w:t>7 (EC-73)</w:t>
        </w:r>
      </w:hyperlink>
      <w:r w:rsidRPr="00AC68AC">
        <w:rPr>
          <w:lang w:val="es-ES"/>
        </w:rPr>
        <w:t xml:space="preserve"> — Refuerzo de los Centros Regionales de Instrumentos.</w:t>
      </w:r>
    </w:p>
    <w:p w14:paraId="7DD3E439" w14:textId="77777777" w:rsidR="00C46BD6" w:rsidRPr="00AC68AC" w:rsidRDefault="00C46BD6" w:rsidP="00C46BD6">
      <w:pPr>
        <w:pStyle w:val="WMOBodyText"/>
        <w:tabs>
          <w:tab w:val="left" w:pos="567"/>
        </w:tabs>
        <w:rPr>
          <w:b/>
          <w:bCs/>
          <w:lang w:val="es-ES"/>
        </w:rPr>
      </w:pPr>
      <w:r w:rsidRPr="00AC68AC">
        <w:rPr>
          <w:b/>
          <w:bCs/>
          <w:lang w:val="es-ES"/>
        </w:rPr>
        <w:t>Medida prevista</w:t>
      </w:r>
    </w:p>
    <w:p w14:paraId="44E7632E" w14:textId="77777777" w:rsidR="00C46BD6" w:rsidRPr="00AC68AC" w:rsidRDefault="00C46BD6" w:rsidP="00412B52">
      <w:pPr>
        <w:pStyle w:val="WMOBodyText"/>
        <w:tabs>
          <w:tab w:val="left" w:pos="1134"/>
        </w:tabs>
        <w:ind w:hanging="11"/>
        <w:rPr>
          <w:lang w:val="es-ES"/>
        </w:rPr>
      </w:pPr>
      <w:bookmarkStart w:id="1" w:name="_Ref108012355"/>
      <w:r w:rsidRPr="00AC68AC">
        <w:rPr>
          <w:lang w:val="es-ES"/>
        </w:rPr>
        <w:t>4.</w:t>
      </w:r>
      <w:r w:rsidRPr="00AC68AC">
        <w:rPr>
          <w:lang w:val="es-ES"/>
        </w:rPr>
        <w:tab/>
        <w:t>De acuerdo con lo expuesto anteriormente, el Consejo Ejecutivo podría adoptar la resolución contenida en el presente documento.</w:t>
      </w:r>
      <w:bookmarkEnd w:id="1"/>
    </w:p>
    <w:p w14:paraId="7BD4BAF1" w14:textId="77777777" w:rsidR="00C46BD6" w:rsidRPr="00AC68AC" w:rsidRDefault="00C46BD6" w:rsidP="00C46BD6">
      <w:pPr>
        <w:tabs>
          <w:tab w:val="clear" w:pos="1134"/>
        </w:tabs>
        <w:rPr>
          <w:rFonts w:eastAsia="Verdana" w:cs="Verdana"/>
          <w:b/>
          <w:bCs/>
          <w:caps/>
          <w:kern w:val="32"/>
          <w:sz w:val="24"/>
          <w:szCs w:val="24"/>
          <w:lang w:val="es-ES" w:eastAsia="zh-TW"/>
        </w:rPr>
      </w:pPr>
      <w:r w:rsidRPr="00AC68AC">
        <w:rPr>
          <w:lang w:val="es-ES"/>
        </w:rPr>
        <w:br w:type="page"/>
      </w:r>
    </w:p>
    <w:p w14:paraId="778506E1" w14:textId="1BDE3DB2" w:rsidR="00581CFE" w:rsidRPr="00AC68AC" w:rsidRDefault="00581CFE" w:rsidP="00581CFE">
      <w:pPr>
        <w:pStyle w:val="Heading1"/>
        <w:rPr>
          <w:lang w:val="es-ES"/>
        </w:rPr>
      </w:pPr>
      <w:r w:rsidRPr="00AC68AC">
        <w:rPr>
          <w:lang w:val="es-ES"/>
        </w:rPr>
        <w:lastRenderedPageBreak/>
        <w:t>PROYECTO DE RESOLUCIÓN</w:t>
      </w:r>
    </w:p>
    <w:p w14:paraId="4565D169" w14:textId="6D138F73" w:rsidR="00581CFE" w:rsidRPr="00AC68AC" w:rsidRDefault="00581CFE" w:rsidP="00581CFE">
      <w:pPr>
        <w:pStyle w:val="Heading2"/>
        <w:rPr>
          <w:lang w:val="es-ES"/>
        </w:rPr>
      </w:pPr>
      <w:r w:rsidRPr="00AC68AC">
        <w:rPr>
          <w:lang w:val="es-ES"/>
        </w:rPr>
        <w:t xml:space="preserve">Proyecto de Resolución </w:t>
      </w:r>
      <w:r w:rsidR="00C46BD6" w:rsidRPr="00AC68AC">
        <w:rPr>
          <w:lang w:val="es-ES"/>
        </w:rPr>
        <w:t>3.2(22)</w:t>
      </w:r>
      <w:r w:rsidRPr="00AC68AC">
        <w:rPr>
          <w:lang w:val="es-ES"/>
        </w:rPr>
        <w:t>/1 (EC-7</w:t>
      </w:r>
      <w:r w:rsidR="0050607D" w:rsidRPr="00AC68AC">
        <w:rPr>
          <w:lang w:val="es-ES"/>
        </w:rPr>
        <w:t>6</w:t>
      </w:r>
      <w:r w:rsidRPr="00AC68AC">
        <w:rPr>
          <w:lang w:val="es-ES"/>
        </w:rPr>
        <w:t>)</w:t>
      </w:r>
    </w:p>
    <w:p w14:paraId="6E1F83BB" w14:textId="692D6F2D" w:rsidR="00581CFE" w:rsidRPr="00AC68AC" w:rsidRDefault="00A40ADF" w:rsidP="00581CFE">
      <w:pPr>
        <w:pStyle w:val="Heading2"/>
        <w:rPr>
          <w:lang w:val="es-ES"/>
        </w:rPr>
      </w:pPr>
      <w:r w:rsidRPr="00AC68AC">
        <w:rPr>
          <w:lang w:val="es-ES"/>
        </w:rPr>
        <w:t>Centros Regionales de Instrumentos</w:t>
      </w:r>
    </w:p>
    <w:p w14:paraId="4A0D8DED" w14:textId="77777777" w:rsidR="00581CFE" w:rsidRPr="00AC68AC" w:rsidRDefault="00581CFE" w:rsidP="00581CFE">
      <w:pPr>
        <w:pStyle w:val="WMOBodyText"/>
        <w:rPr>
          <w:lang w:val="es-ES"/>
        </w:rPr>
      </w:pPr>
      <w:r w:rsidRPr="00AC68AC">
        <w:rPr>
          <w:lang w:val="es-ES"/>
        </w:rPr>
        <w:t>EL CONSEJO EJECUTIVO,</w:t>
      </w:r>
    </w:p>
    <w:p w14:paraId="70509375" w14:textId="77777777" w:rsidR="00C46BD6" w:rsidRPr="00AC68AC" w:rsidRDefault="00C46BD6" w:rsidP="00C46BD6">
      <w:pPr>
        <w:pStyle w:val="WMOBodyText"/>
        <w:rPr>
          <w:lang w:val="es-ES"/>
        </w:rPr>
      </w:pPr>
      <w:r w:rsidRPr="00AC68AC">
        <w:rPr>
          <w:b/>
          <w:bCs/>
          <w:lang w:val="es-ES"/>
        </w:rPr>
        <w:t>Recordando</w:t>
      </w:r>
      <w:r w:rsidRPr="00AC68AC">
        <w:rPr>
          <w:lang w:val="es-ES"/>
        </w:rPr>
        <w:t xml:space="preserve"> la </w:t>
      </w:r>
      <w:hyperlink r:id="rId15" w:anchor="page=365" w:history="1">
        <w:r w:rsidRPr="00AC68AC">
          <w:rPr>
            <w:rStyle w:val="Hyperlink"/>
            <w:lang w:val="es-ES"/>
          </w:rPr>
          <w:t>Resoluc</w:t>
        </w:r>
        <w:r w:rsidRPr="00AC68AC">
          <w:rPr>
            <w:rStyle w:val="Hyperlink"/>
            <w:lang w:val="es-ES"/>
          </w:rPr>
          <w:t>i</w:t>
        </w:r>
        <w:r w:rsidRPr="00AC68AC">
          <w:rPr>
            <w:rStyle w:val="Hyperlink"/>
            <w:lang w:val="es-ES"/>
          </w:rPr>
          <w:t>ón 17 (EC-73)</w:t>
        </w:r>
      </w:hyperlink>
      <w:r w:rsidRPr="00AC68AC">
        <w:rPr>
          <w:lang w:val="es-ES"/>
        </w:rPr>
        <w:t xml:space="preserve"> — Refuerzo de los Centros Regionales de Instrumentos,</w:t>
      </w:r>
    </w:p>
    <w:p w14:paraId="5E35D93A" w14:textId="52A04A3A" w:rsidR="00C46BD6" w:rsidRPr="00AC68AC" w:rsidRDefault="00C46BD6" w:rsidP="00C46BD6">
      <w:pPr>
        <w:pStyle w:val="WMOBodyText"/>
        <w:rPr>
          <w:lang w:val="es-ES"/>
        </w:rPr>
      </w:pPr>
      <w:r w:rsidRPr="00AC68AC">
        <w:rPr>
          <w:b/>
          <w:bCs/>
          <w:lang w:val="es-ES"/>
        </w:rPr>
        <w:t xml:space="preserve">Recordando </w:t>
      </w:r>
      <w:r w:rsidRPr="00AC68AC">
        <w:rPr>
          <w:lang w:val="es-ES"/>
        </w:rPr>
        <w:t xml:space="preserve">la necesidad de seguir un enfoque uniforme </w:t>
      </w:r>
      <w:r w:rsidR="00A81FEE" w:rsidRPr="00AC68AC">
        <w:rPr>
          <w:lang w:val="es-ES"/>
        </w:rPr>
        <w:t xml:space="preserve">a la hora de </w:t>
      </w:r>
      <w:r w:rsidRPr="00AC68AC">
        <w:rPr>
          <w:lang w:val="es-ES"/>
        </w:rPr>
        <w:t>audit</w:t>
      </w:r>
      <w:r w:rsidR="00A81FEE" w:rsidRPr="00AC68AC">
        <w:rPr>
          <w:lang w:val="es-ES"/>
        </w:rPr>
        <w:t>a</w:t>
      </w:r>
      <w:r w:rsidRPr="00AC68AC">
        <w:rPr>
          <w:lang w:val="es-ES"/>
        </w:rPr>
        <w:t xml:space="preserve">r los centros de la Organización Meteorológica Mundial (OMM) con arreglo a lo especificado en el </w:t>
      </w:r>
      <w:hyperlink r:id="rId16" w:anchor=".Y8aeYHbMKUl" w:history="1">
        <w:r w:rsidRPr="00AC68AC">
          <w:rPr>
            <w:rStyle w:val="Hyperlink"/>
            <w:i/>
            <w:iCs/>
            <w:lang w:val="es-ES"/>
          </w:rPr>
          <w:t>Regla</w:t>
        </w:r>
        <w:r w:rsidRPr="00AC68AC">
          <w:rPr>
            <w:rStyle w:val="Hyperlink"/>
            <w:i/>
            <w:iCs/>
            <w:lang w:val="es-ES"/>
          </w:rPr>
          <w:t>m</w:t>
        </w:r>
        <w:r w:rsidRPr="00AC68AC">
          <w:rPr>
            <w:rStyle w:val="Hyperlink"/>
            <w:i/>
            <w:iCs/>
            <w:lang w:val="es-ES"/>
          </w:rPr>
          <w:t>ento Técnico</w:t>
        </w:r>
      </w:hyperlink>
      <w:r w:rsidRPr="00AC68AC">
        <w:rPr>
          <w:lang w:val="es-ES"/>
        </w:rPr>
        <w:t xml:space="preserve"> (OMM-Nº 49), Volumen I </w:t>
      </w:r>
      <w:r w:rsidR="00562F19" w:rsidRPr="00AC68AC">
        <w:rPr>
          <w:lang w:val="es-ES"/>
        </w:rPr>
        <w:t>— Normas meteorológicas de carácter general y prácticas recomendadas</w:t>
      </w:r>
      <w:r w:rsidR="00562F19" w:rsidRPr="00AC68AC">
        <w:rPr>
          <w:i/>
          <w:iCs/>
          <w:lang w:val="es-ES"/>
        </w:rPr>
        <w:t xml:space="preserve"> </w:t>
      </w:r>
      <w:r w:rsidRPr="00AC68AC">
        <w:rPr>
          <w:i/>
          <w:iCs/>
          <w:lang w:val="es-ES"/>
        </w:rPr>
        <w:t>[de la Resolución 17 (EC-73)]</w:t>
      </w:r>
      <w:r w:rsidRPr="00AC68AC">
        <w:rPr>
          <w:lang w:val="es-ES"/>
        </w:rPr>
        <w:t>,</w:t>
      </w:r>
    </w:p>
    <w:p w14:paraId="52DB6B4C" w14:textId="1F91ED6A" w:rsidR="00C46BD6" w:rsidRPr="00AC68AC" w:rsidRDefault="00C46BD6" w:rsidP="00C46BD6">
      <w:pPr>
        <w:pStyle w:val="WMOBodyText"/>
        <w:rPr>
          <w:b/>
          <w:bCs/>
          <w:lang w:val="es-ES"/>
        </w:rPr>
      </w:pPr>
      <w:r w:rsidRPr="00AC68AC">
        <w:rPr>
          <w:b/>
          <w:bCs/>
          <w:lang w:val="es-ES"/>
        </w:rPr>
        <w:t xml:space="preserve">Reconociendo </w:t>
      </w:r>
      <w:r w:rsidRPr="00AC68AC">
        <w:rPr>
          <w:lang w:val="es-ES"/>
        </w:rPr>
        <w:t>la necesidad de armonizar los procedimientos actualmente empleados para la designación, evaluación y confirmación de los diferentes tipos de centros designados por la OMM, y el lugar donde se publican estos procesos,</w:t>
      </w:r>
    </w:p>
    <w:p w14:paraId="46B02BA9" w14:textId="1C5C8DFE" w:rsidR="00C46BD6" w:rsidRPr="00AC68AC" w:rsidRDefault="00C46BD6" w:rsidP="00C46BD6">
      <w:pPr>
        <w:pStyle w:val="WMOBodyText"/>
        <w:rPr>
          <w:lang w:val="es-ES"/>
        </w:rPr>
      </w:pPr>
      <w:r w:rsidRPr="00AC68AC">
        <w:rPr>
          <w:b/>
          <w:bCs/>
          <w:lang w:val="es-ES"/>
        </w:rPr>
        <w:t>Habiendo examinado</w:t>
      </w:r>
      <w:r w:rsidRPr="00AC68AC">
        <w:rPr>
          <w:lang w:val="es-ES"/>
        </w:rPr>
        <w:t xml:space="preserve"> la </w:t>
      </w:r>
      <w:hyperlink r:id="rId17" w:history="1">
        <w:r w:rsidRPr="00AC68AC">
          <w:rPr>
            <w:rStyle w:val="Hyperlink"/>
            <w:lang w:val="es-ES"/>
          </w:rPr>
          <w:t>Recomend</w:t>
        </w:r>
        <w:r w:rsidRPr="00AC68AC">
          <w:rPr>
            <w:rStyle w:val="Hyperlink"/>
            <w:lang w:val="es-ES"/>
          </w:rPr>
          <w:t>a</w:t>
        </w:r>
        <w:r w:rsidRPr="00AC68AC">
          <w:rPr>
            <w:rStyle w:val="Hyperlink"/>
            <w:lang w:val="es-ES"/>
          </w:rPr>
          <w:t>ción 6.2(3)/2 (INFCOM-2)</w:t>
        </w:r>
      </w:hyperlink>
      <w:r w:rsidR="0051500C" w:rsidRPr="00AC68AC">
        <w:rPr>
          <w:lang w:val="es-ES"/>
        </w:rPr>
        <w:t xml:space="preserve"> — </w:t>
      </w:r>
      <w:r w:rsidR="0074705D" w:rsidRPr="00AC68AC">
        <w:rPr>
          <w:lang w:val="es-ES"/>
        </w:rPr>
        <w:t>Centros Regionales de Instrumentos</w:t>
      </w:r>
      <w:r w:rsidR="0051500C" w:rsidRPr="00AC68AC">
        <w:rPr>
          <w:lang w:val="es-ES"/>
        </w:rPr>
        <w:t>,</w:t>
      </w:r>
    </w:p>
    <w:p w14:paraId="6F87BF32" w14:textId="6A4C6EDB" w:rsidR="00C46BD6" w:rsidRPr="00AC68AC" w:rsidRDefault="00C46BD6" w:rsidP="00C46BD6">
      <w:pPr>
        <w:pStyle w:val="WMOBodyText"/>
        <w:rPr>
          <w:lang w:val="es-ES"/>
        </w:rPr>
      </w:pPr>
      <w:r w:rsidRPr="00AC68AC">
        <w:rPr>
          <w:b/>
          <w:bCs/>
          <w:lang w:val="es-ES"/>
        </w:rPr>
        <w:t xml:space="preserve">Insta </w:t>
      </w:r>
      <w:r w:rsidRPr="00AC68AC">
        <w:rPr>
          <w:lang w:val="es-ES"/>
        </w:rPr>
        <w:t>a los Miembros que a</w:t>
      </w:r>
      <w:r w:rsidR="006B26BC" w:rsidRPr="00AC68AC">
        <w:rPr>
          <w:lang w:val="es-ES"/>
        </w:rPr>
        <w:t xml:space="preserve">lbergan </w:t>
      </w:r>
      <w:r w:rsidRPr="00AC68AC">
        <w:rPr>
          <w:lang w:val="es-ES"/>
        </w:rPr>
        <w:t>CRI que no estén acreditados según la norma ISO/IEC</w:t>
      </w:r>
      <w:r w:rsidR="0074705D" w:rsidRPr="00AC68AC">
        <w:rPr>
          <w:lang w:val="es-ES"/>
        </w:rPr>
        <w:t> </w:t>
      </w:r>
      <w:r w:rsidRPr="00AC68AC">
        <w:rPr>
          <w:lang w:val="es-ES"/>
        </w:rPr>
        <w:t xml:space="preserve">17025 a que </w:t>
      </w:r>
      <w:r w:rsidR="006B26BC" w:rsidRPr="00AC68AC">
        <w:rPr>
          <w:lang w:val="es-ES"/>
        </w:rPr>
        <w:t xml:space="preserve">procuren </w:t>
      </w:r>
      <w:r w:rsidRPr="00AC68AC">
        <w:rPr>
          <w:lang w:val="es-ES"/>
        </w:rPr>
        <w:t xml:space="preserve">obtener la acreditación correspondiente antes del próximo Congreso ordinario </w:t>
      </w:r>
      <w:r w:rsidRPr="00AC68AC">
        <w:rPr>
          <w:i/>
          <w:iCs/>
          <w:lang w:val="es-ES"/>
        </w:rPr>
        <w:t>[adaptado de la Resolución 17 (EC-73)]</w:t>
      </w:r>
      <w:r w:rsidRPr="00AC68AC">
        <w:rPr>
          <w:lang w:val="es-ES"/>
        </w:rPr>
        <w:t>;</w:t>
      </w:r>
    </w:p>
    <w:p w14:paraId="45BEC1F9" w14:textId="3C3666B2" w:rsidR="00C46BD6" w:rsidRPr="00AC68AC" w:rsidRDefault="00C46BD6" w:rsidP="00C46BD6">
      <w:pPr>
        <w:pStyle w:val="WMOBodyText"/>
        <w:rPr>
          <w:lang w:val="es-ES"/>
        </w:rPr>
      </w:pPr>
      <w:r w:rsidRPr="00AC68AC">
        <w:rPr>
          <w:b/>
          <w:bCs/>
          <w:lang w:val="es-ES"/>
        </w:rPr>
        <w:t xml:space="preserve">Invita </w:t>
      </w:r>
      <w:r w:rsidRPr="00AC68AC">
        <w:rPr>
          <w:lang w:val="es-ES"/>
        </w:rPr>
        <w:t xml:space="preserve">a las asociaciones regionales a realizar, en colaboración con la Comisión de Observaciones, Infraestructura y Sistemas de Información (INFCOM), </w:t>
      </w:r>
      <w:r w:rsidR="00CA1E9B" w:rsidRPr="00AC68AC">
        <w:rPr>
          <w:lang w:val="es-ES"/>
        </w:rPr>
        <w:t xml:space="preserve">y antes del próximo Congreso ordinario, </w:t>
      </w:r>
      <w:r w:rsidRPr="00AC68AC">
        <w:rPr>
          <w:lang w:val="es-ES"/>
        </w:rPr>
        <w:t xml:space="preserve">una encuesta </w:t>
      </w:r>
      <w:r w:rsidR="00477916" w:rsidRPr="00AC68AC">
        <w:rPr>
          <w:lang w:val="es-ES"/>
        </w:rPr>
        <w:t>entre</w:t>
      </w:r>
      <w:r w:rsidRPr="00AC68AC">
        <w:rPr>
          <w:lang w:val="es-ES"/>
        </w:rPr>
        <w:t xml:space="preserve"> los Miembros de la OMM para determinar </w:t>
      </w:r>
      <w:r w:rsidR="00477916" w:rsidRPr="00AC68AC">
        <w:rPr>
          <w:lang w:val="es-ES"/>
        </w:rPr>
        <w:t>su</w:t>
      </w:r>
      <w:r w:rsidRPr="00AC68AC">
        <w:rPr>
          <w:lang w:val="es-ES"/>
        </w:rPr>
        <w:t xml:space="preserve">s necesidades </w:t>
      </w:r>
      <w:r w:rsidR="000120F1" w:rsidRPr="00AC68AC">
        <w:rPr>
          <w:lang w:val="es-ES"/>
        </w:rPr>
        <w:t xml:space="preserve">en cuanto a </w:t>
      </w:r>
      <w:r w:rsidRPr="00AC68AC">
        <w:rPr>
          <w:lang w:val="es-ES"/>
        </w:rPr>
        <w:t xml:space="preserve">servicios prestados por </w:t>
      </w:r>
      <w:r w:rsidR="00C45ED1" w:rsidRPr="00AC68AC">
        <w:rPr>
          <w:lang w:val="es-ES"/>
        </w:rPr>
        <w:t xml:space="preserve">los </w:t>
      </w:r>
      <w:r w:rsidRPr="00AC68AC">
        <w:rPr>
          <w:lang w:val="es-ES"/>
        </w:rPr>
        <w:t>CRI, el uso que hace</w:t>
      </w:r>
      <w:r w:rsidR="00CA1E9B" w:rsidRPr="00AC68AC">
        <w:rPr>
          <w:lang w:val="es-ES"/>
        </w:rPr>
        <w:t>n</w:t>
      </w:r>
      <w:r w:rsidRPr="00AC68AC">
        <w:rPr>
          <w:lang w:val="es-ES"/>
        </w:rPr>
        <w:t xml:space="preserve"> de </w:t>
      </w:r>
      <w:r w:rsidR="00881EC4" w:rsidRPr="00AC68AC">
        <w:rPr>
          <w:lang w:val="es-ES"/>
        </w:rPr>
        <w:t xml:space="preserve">los </w:t>
      </w:r>
      <w:r w:rsidRPr="00AC68AC">
        <w:rPr>
          <w:lang w:val="es-ES"/>
        </w:rPr>
        <w:t xml:space="preserve">servicios </w:t>
      </w:r>
      <w:r w:rsidR="00881EC4" w:rsidRPr="00AC68AC">
        <w:rPr>
          <w:lang w:val="es-ES"/>
        </w:rPr>
        <w:t xml:space="preserve">prestados actualmente por esos centros </w:t>
      </w:r>
      <w:r w:rsidRPr="00AC68AC">
        <w:rPr>
          <w:lang w:val="es-ES"/>
        </w:rPr>
        <w:t>y el nivel de satisfacción con ellos;</w:t>
      </w:r>
    </w:p>
    <w:p w14:paraId="42243B02" w14:textId="77777777" w:rsidR="00C46BD6" w:rsidRPr="00AC68AC" w:rsidRDefault="00C46BD6" w:rsidP="00C46BD6">
      <w:pPr>
        <w:pStyle w:val="WMOBodyText"/>
        <w:rPr>
          <w:lang w:val="es-ES"/>
        </w:rPr>
      </w:pPr>
      <w:r w:rsidRPr="00AC68AC">
        <w:rPr>
          <w:b/>
          <w:bCs/>
          <w:lang w:val="es-ES"/>
        </w:rPr>
        <w:t xml:space="preserve">Solicita </w:t>
      </w:r>
      <w:r w:rsidRPr="00AC68AC">
        <w:rPr>
          <w:lang w:val="es-ES"/>
        </w:rPr>
        <w:t>a las asociaciones regionales:</w:t>
      </w:r>
    </w:p>
    <w:p w14:paraId="02F8957F" w14:textId="2EA260DE" w:rsidR="00C46BD6" w:rsidRPr="00AC68AC" w:rsidRDefault="00C46BD6" w:rsidP="00C46BD6">
      <w:pPr>
        <w:pStyle w:val="WMOIndent1"/>
        <w:rPr>
          <w:lang w:val="es-ES"/>
        </w:rPr>
      </w:pPr>
      <w:r w:rsidRPr="00AC68AC">
        <w:rPr>
          <w:lang w:val="es-ES"/>
        </w:rPr>
        <w:t>1)</w:t>
      </w:r>
      <w:r w:rsidRPr="00AC68AC">
        <w:rPr>
          <w:lang w:val="es-ES"/>
        </w:rPr>
        <w:tab/>
        <w:t xml:space="preserve">que adopten las medidas apropiadas para </w:t>
      </w:r>
      <w:r w:rsidR="009015EA" w:rsidRPr="00AC68AC">
        <w:rPr>
          <w:lang w:val="es-ES"/>
        </w:rPr>
        <w:t xml:space="preserve">velar por que </w:t>
      </w:r>
      <w:r w:rsidRPr="00AC68AC">
        <w:rPr>
          <w:lang w:val="es-ES"/>
        </w:rPr>
        <w:t>los CRI que a</w:t>
      </w:r>
      <w:r w:rsidR="00B1763B" w:rsidRPr="00AC68AC">
        <w:rPr>
          <w:lang w:val="es-ES"/>
        </w:rPr>
        <w:t xml:space="preserve">lbergan </w:t>
      </w:r>
      <w:r w:rsidRPr="00AC68AC">
        <w:rPr>
          <w:lang w:val="es-ES"/>
        </w:rPr>
        <w:t>actualmente cumpl</w:t>
      </w:r>
      <w:r w:rsidR="009015EA" w:rsidRPr="00AC68AC">
        <w:rPr>
          <w:lang w:val="es-ES"/>
        </w:rPr>
        <w:t>a</w:t>
      </w:r>
      <w:r w:rsidRPr="00AC68AC">
        <w:rPr>
          <w:lang w:val="es-ES"/>
        </w:rPr>
        <w:t xml:space="preserve">n plenamente su </w:t>
      </w:r>
      <w:hyperlink r:id="rId18" w:history="1">
        <w:r w:rsidRPr="00AC68AC">
          <w:rPr>
            <w:rStyle w:val="Hyperlink"/>
            <w:lang w:val="es-ES"/>
          </w:rPr>
          <w:t>m</w:t>
        </w:r>
        <w:r w:rsidRPr="00AC68AC">
          <w:rPr>
            <w:rStyle w:val="Hyperlink"/>
            <w:lang w:val="es-ES"/>
          </w:rPr>
          <w:t>a</w:t>
        </w:r>
        <w:r w:rsidRPr="00AC68AC">
          <w:rPr>
            <w:rStyle w:val="Hyperlink"/>
            <w:lang w:val="es-ES"/>
          </w:rPr>
          <w:t>ndato</w:t>
        </w:r>
      </w:hyperlink>
      <w:r w:rsidRPr="00AC68AC">
        <w:rPr>
          <w:lang w:val="es-ES"/>
        </w:rPr>
        <w:t>;</w:t>
      </w:r>
    </w:p>
    <w:p w14:paraId="158BCD7B" w14:textId="1EE3EAF9" w:rsidR="00C46BD6" w:rsidRPr="00AC68AC" w:rsidRDefault="00C46BD6" w:rsidP="00C46BD6">
      <w:pPr>
        <w:pStyle w:val="WMOIndent1"/>
        <w:rPr>
          <w:lang w:val="es-ES"/>
        </w:rPr>
      </w:pPr>
      <w:r w:rsidRPr="00AC68AC">
        <w:rPr>
          <w:lang w:val="es-ES"/>
        </w:rPr>
        <w:t>2)</w:t>
      </w:r>
      <w:r w:rsidRPr="00AC68AC">
        <w:rPr>
          <w:lang w:val="es-ES"/>
        </w:rPr>
        <w:tab/>
        <w:t>que confirmen sus CRI, teniendo en cuenta las recomendaciones de la INFCOM;</w:t>
      </w:r>
    </w:p>
    <w:p w14:paraId="2F569ED6" w14:textId="77777777" w:rsidR="00C46BD6" w:rsidRPr="00AC68AC" w:rsidRDefault="00C46BD6" w:rsidP="00C46BD6">
      <w:pPr>
        <w:pStyle w:val="WMOBodyText"/>
        <w:rPr>
          <w:lang w:val="es-ES"/>
        </w:rPr>
      </w:pPr>
      <w:r w:rsidRPr="00AC68AC">
        <w:rPr>
          <w:b/>
          <w:bCs/>
          <w:lang w:val="es-ES"/>
        </w:rPr>
        <w:t>Solicita</w:t>
      </w:r>
      <w:r w:rsidRPr="00AC68AC">
        <w:rPr>
          <w:lang w:val="es-ES"/>
        </w:rPr>
        <w:t xml:space="preserve"> a la INFCOM:</w:t>
      </w:r>
    </w:p>
    <w:p w14:paraId="2918363C" w14:textId="57CF4C0C" w:rsidR="00C46BD6" w:rsidRPr="00AC68AC" w:rsidRDefault="00C46BD6" w:rsidP="00C46BD6">
      <w:pPr>
        <w:pStyle w:val="WMOIndent1"/>
        <w:rPr>
          <w:lang w:val="es-ES"/>
        </w:rPr>
      </w:pPr>
      <w:r w:rsidRPr="00AC68AC">
        <w:rPr>
          <w:lang w:val="es-ES"/>
        </w:rPr>
        <w:t>1)</w:t>
      </w:r>
      <w:r w:rsidRPr="00AC68AC">
        <w:rPr>
          <w:lang w:val="es-ES"/>
        </w:rPr>
        <w:tab/>
        <w:t>que lleve a cabo periódicamente una evaluación técnica del desempeño de los CRI y un examen de las solicitudes presentadas por esos centros;</w:t>
      </w:r>
    </w:p>
    <w:p w14:paraId="20E56202" w14:textId="77777777" w:rsidR="00C46BD6" w:rsidRPr="00AC68AC" w:rsidRDefault="00C46BD6" w:rsidP="00C46BD6">
      <w:pPr>
        <w:pStyle w:val="WMOIndent1"/>
        <w:rPr>
          <w:lang w:val="es-ES"/>
        </w:rPr>
      </w:pPr>
      <w:r w:rsidRPr="00AC68AC">
        <w:rPr>
          <w:lang w:val="es-ES"/>
        </w:rPr>
        <w:t>2)</w:t>
      </w:r>
      <w:r w:rsidRPr="00AC68AC">
        <w:rPr>
          <w:lang w:val="es-ES"/>
        </w:rPr>
        <w:tab/>
        <w:t>que disponga la realización de auditorías de los CRI que no estén acreditados, antes del próximo Congreso ordinario;</w:t>
      </w:r>
    </w:p>
    <w:p w14:paraId="1AEDA1C6" w14:textId="5BD9BB49" w:rsidR="00C46BD6" w:rsidRPr="00AC68AC" w:rsidRDefault="00C46BD6" w:rsidP="00C46BD6">
      <w:pPr>
        <w:pStyle w:val="WMOIndent1"/>
        <w:rPr>
          <w:lang w:val="es-ES"/>
        </w:rPr>
      </w:pPr>
      <w:r w:rsidRPr="00AC68AC">
        <w:rPr>
          <w:lang w:val="es-ES"/>
        </w:rPr>
        <w:t>3)</w:t>
      </w:r>
      <w:r w:rsidRPr="00AC68AC">
        <w:rPr>
          <w:lang w:val="es-ES"/>
        </w:rPr>
        <w:tab/>
        <w:t xml:space="preserve">que explore sinergias y la posible armonización de los distintos tipos de centros </w:t>
      </w:r>
      <w:r w:rsidR="003C3C91" w:rsidRPr="00AC68AC">
        <w:rPr>
          <w:lang w:val="es-ES"/>
        </w:rPr>
        <w:t xml:space="preserve">relacionados con los </w:t>
      </w:r>
      <w:r w:rsidRPr="00AC68AC">
        <w:rPr>
          <w:lang w:val="es-ES"/>
        </w:rPr>
        <w:t>instrumentos, con el objetivo de perfeccionar los servicios ofrecidos a los Miembros;</w:t>
      </w:r>
    </w:p>
    <w:p w14:paraId="2963E181" w14:textId="182A700C" w:rsidR="00C46BD6" w:rsidRPr="00AC68AC" w:rsidRDefault="00C46BD6" w:rsidP="00C46BD6">
      <w:pPr>
        <w:pStyle w:val="WMOBodyText"/>
        <w:rPr>
          <w:lang w:val="es-ES"/>
        </w:rPr>
      </w:pPr>
      <w:r w:rsidRPr="00AC68AC">
        <w:rPr>
          <w:b/>
          <w:bCs/>
          <w:lang w:val="es-ES"/>
        </w:rPr>
        <w:t>Solicita también</w:t>
      </w:r>
      <w:r w:rsidRPr="00AC68AC">
        <w:rPr>
          <w:lang w:val="es-ES"/>
        </w:rPr>
        <w:t xml:space="preserve"> a la INFCOM que, en colaboración con la Comisión de Aplicaciones y Servicios Meteorológicos, Climáticos, Hidrológicos y Medioambientales Conexos (SERCOM) y la Junta de Investigación, armonice las prácticas relacionadas con la designación de los </w:t>
      </w:r>
      <w:r w:rsidR="00F6063F" w:rsidRPr="00AC68AC">
        <w:rPr>
          <w:lang w:val="es-ES"/>
        </w:rPr>
        <w:t>c</w:t>
      </w:r>
      <w:r w:rsidRPr="00AC68AC">
        <w:rPr>
          <w:lang w:val="es-ES"/>
        </w:rPr>
        <w:t>entros mundiales y regionales de la OMM y la publicación de su</w:t>
      </w:r>
      <w:r w:rsidR="00F6063F" w:rsidRPr="00AC68AC">
        <w:rPr>
          <w:lang w:val="es-ES"/>
        </w:rPr>
        <w:t>s</w:t>
      </w:r>
      <w:r w:rsidRPr="00AC68AC">
        <w:rPr>
          <w:lang w:val="es-ES"/>
        </w:rPr>
        <w:t xml:space="preserve"> respectivo</w:t>
      </w:r>
      <w:r w:rsidR="00F6063F" w:rsidRPr="00AC68AC">
        <w:rPr>
          <w:lang w:val="es-ES"/>
        </w:rPr>
        <w:t>s</w:t>
      </w:r>
      <w:r w:rsidRPr="00AC68AC">
        <w:rPr>
          <w:lang w:val="es-ES"/>
        </w:rPr>
        <w:t xml:space="preserve"> mandato</w:t>
      </w:r>
      <w:r w:rsidR="00F6063F" w:rsidRPr="00AC68AC">
        <w:rPr>
          <w:lang w:val="es-ES"/>
        </w:rPr>
        <w:t>s</w:t>
      </w:r>
      <w:r w:rsidRPr="00AC68AC">
        <w:rPr>
          <w:lang w:val="es-ES"/>
        </w:rPr>
        <w:t>;</w:t>
      </w:r>
    </w:p>
    <w:p w14:paraId="77CECAA8" w14:textId="1115070F" w:rsidR="00C46BD6" w:rsidRPr="00AC68AC" w:rsidRDefault="00C46BD6" w:rsidP="00C46BD6">
      <w:pPr>
        <w:pStyle w:val="WMOBodyText"/>
        <w:rPr>
          <w:lang w:val="es-ES"/>
        </w:rPr>
      </w:pPr>
      <w:r w:rsidRPr="00AC68AC">
        <w:rPr>
          <w:b/>
          <w:bCs/>
          <w:lang w:val="es-ES"/>
        </w:rPr>
        <w:lastRenderedPageBreak/>
        <w:t xml:space="preserve">Solicita </w:t>
      </w:r>
      <w:r w:rsidRPr="00AC68AC">
        <w:rPr>
          <w:lang w:val="es-ES"/>
        </w:rPr>
        <w:t xml:space="preserve">a las asociaciones regionales, los Miembros pertinentes y la INFCOM que apliquen el proceso de los CRI a todas las nuevas designaciones de centros de ese tipo, así como a la evaluación y la confirmación periódica de los CRI ya designados </w:t>
      </w:r>
      <w:r w:rsidRPr="00AC68AC">
        <w:rPr>
          <w:i/>
          <w:iCs/>
          <w:lang w:val="es-ES"/>
        </w:rPr>
        <w:t>[de la Resolución 17 (EC-73)]</w:t>
      </w:r>
      <w:r w:rsidRPr="00AC68AC">
        <w:rPr>
          <w:lang w:val="es-ES"/>
        </w:rPr>
        <w:t>;</w:t>
      </w:r>
    </w:p>
    <w:p w14:paraId="53418318" w14:textId="3A0705EA" w:rsidR="00C46BD6" w:rsidRPr="00AC68AC" w:rsidRDefault="00C46BD6" w:rsidP="00C46BD6">
      <w:pPr>
        <w:pStyle w:val="WMOBodyText"/>
        <w:rPr>
          <w:i/>
          <w:iCs/>
          <w:lang w:val="es-ES"/>
        </w:rPr>
      </w:pPr>
      <w:r w:rsidRPr="00AC68AC">
        <w:rPr>
          <w:b/>
          <w:bCs/>
          <w:lang w:val="es-ES"/>
        </w:rPr>
        <w:t xml:space="preserve">Solicita </w:t>
      </w:r>
      <w:r w:rsidRPr="00AC68AC">
        <w:rPr>
          <w:lang w:val="es-ES"/>
        </w:rPr>
        <w:t>a la INFCOM que, en colaboración con las asociaciones regio</w:t>
      </w:r>
      <w:bookmarkStart w:id="2" w:name="_GoBack"/>
      <w:bookmarkEnd w:id="2"/>
      <w:r w:rsidRPr="00AC68AC">
        <w:rPr>
          <w:lang w:val="es-ES"/>
        </w:rPr>
        <w:t xml:space="preserve">nales, siga desarrollando el proceso de auditoría de los CRI a fin de que sea acorde con las prácticas y procedimientos normalizados y recomendados descritos en el </w:t>
      </w:r>
      <w:hyperlink r:id="rId19" w:anchor=".Y8at2HbMKUk" w:history="1">
        <w:r w:rsidRPr="00AC68AC">
          <w:rPr>
            <w:rStyle w:val="Hyperlink"/>
            <w:i/>
            <w:iCs/>
            <w:lang w:val="es-ES"/>
          </w:rPr>
          <w:t>Reglamen</w:t>
        </w:r>
        <w:r w:rsidRPr="00AC68AC">
          <w:rPr>
            <w:rStyle w:val="Hyperlink"/>
            <w:i/>
            <w:iCs/>
            <w:lang w:val="es-ES"/>
          </w:rPr>
          <w:t>t</w:t>
        </w:r>
        <w:r w:rsidRPr="00AC68AC">
          <w:rPr>
            <w:rStyle w:val="Hyperlink"/>
            <w:i/>
            <w:iCs/>
            <w:lang w:val="es-ES"/>
          </w:rPr>
          <w:t>o Técnico</w:t>
        </w:r>
      </w:hyperlink>
      <w:r w:rsidRPr="00AC68AC">
        <w:rPr>
          <w:lang w:val="es-ES"/>
        </w:rPr>
        <w:t xml:space="preserve"> (OMM-Nº 49), Volumen I</w:t>
      </w:r>
      <w:r w:rsidR="00AC68AC" w:rsidRPr="00AC68AC">
        <w:rPr>
          <w:lang w:val="es-ES"/>
        </w:rPr>
        <w:t xml:space="preserve"> </w:t>
      </w:r>
      <w:r w:rsidR="00CE5DD1" w:rsidRPr="00AC68AC">
        <w:rPr>
          <w:lang w:val="es-ES"/>
        </w:rPr>
        <w:t>— Normas meteorológicas de carácter general y prácticas recomendadas</w:t>
      </w:r>
      <w:r w:rsidRPr="00AC68AC">
        <w:rPr>
          <w:lang w:val="es-ES"/>
        </w:rPr>
        <w:t xml:space="preserve"> </w:t>
      </w:r>
      <w:r w:rsidRPr="00AC68AC">
        <w:rPr>
          <w:i/>
          <w:iCs/>
          <w:lang w:val="es-ES"/>
        </w:rPr>
        <w:t>[de la Resolución 17 (EC-73)]</w:t>
      </w:r>
      <w:r w:rsidRPr="00AC68AC">
        <w:rPr>
          <w:lang w:val="es-ES"/>
        </w:rPr>
        <w:t>.</w:t>
      </w:r>
    </w:p>
    <w:p w14:paraId="134F177F" w14:textId="77777777" w:rsidR="00C46BD6" w:rsidRPr="00AC68AC" w:rsidRDefault="00C46BD6" w:rsidP="00C46BD6">
      <w:pPr>
        <w:pStyle w:val="WMOBodyText"/>
        <w:rPr>
          <w:lang w:val="es-ES"/>
        </w:rPr>
      </w:pPr>
      <w:r w:rsidRPr="00AC68AC">
        <w:rPr>
          <w:lang w:val="es-ES"/>
        </w:rPr>
        <w:t>_______</w:t>
      </w:r>
    </w:p>
    <w:p w14:paraId="5C452C91" w14:textId="0EA3B683" w:rsidR="00C46BD6" w:rsidRPr="00AC68AC" w:rsidRDefault="00C46BD6" w:rsidP="00412B52">
      <w:pPr>
        <w:pStyle w:val="WMONote"/>
        <w:tabs>
          <w:tab w:val="clear" w:pos="1418"/>
          <w:tab w:val="left" w:pos="709"/>
        </w:tabs>
        <w:spacing w:before="120"/>
        <w:ind w:left="709" w:hanging="709"/>
        <w:jc w:val="both"/>
        <w:rPr>
          <w:lang w:val="es-ES"/>
        </w:rPr>
      </w:pPr>
      <w:r w:rsidRPr="00AC68AC">
        <w:rPr>
          <w:lang w:val="es-ES"/>
        </w:rPr>
        <w:t xml:space="preserve">Nota: </w:t>
      </w:r>
      <w:r w:rsidR="009B4673" w:rsidRPr="00AC68AC">
        <w:rPr>
          <w:lang w:val="es-ES"/>
        </w:rPr>
        <w:tab/>
        <w:t>L</w:t>
      </w:r>
      <w:r w:rsidRPr="00AC68AC">
        <w:rPr>
          <w:lang w:val="es-ES"/>
        </w:rPr>
        <w:t xml:space="preserve">a presente resolución sustituye a la </w:t>
      </w:r>
      <w:hyperlink r:id="rId20" w:anchor="page=365" w:history="1">
        <w:r w:rsidRPr="00AC68AC">
          <w:rPr>
            <w:rStyle w:val="Hyperlink"/>
            <w:lang w:val="es-ES"/>
          </w:rPr>
          <w:t>Resol</w:t>
        </w:r>
        <w:r w:rsidRPr="00AC68AC">
          <w:rPr>
            <w:rStyle w:val="Hyperlink"/>
            <w:lang w:val="es-ES"/>
          </w:rPr>
          <w:t>u</w:t>
        </w:r>
        <w:r w:rsidRPr="00AC68AC">
          <w:rPr>
            <w:rStyle w:val="Hyperlink"/>
            <w:lang w:val="es-ES"/>
          </w:rPr>
          <w:t>ción 17 (EC-73)</w:t>
        </w:r>
      </w:hyperlink>
      <w:r w:rsidRPr="00AC68AC">
        <w:rPr>
          <w:lang w:val="es-ES"/>
        </w:rPr>
        <w:t xml:space="preserve"> — Refuerzo de los Centros Regionales de Instrumentos, que deja de estar en vigor.</w:t>
      </w:r>
    </w:p>
    <w:p w14:paraId="71FFD473" w14:textId="77777777" w:rsidR="00581CFE" w:rsidRPr="00AC68AC" w:rsidRDefault="00581CFE" w:rsidP="00581CFE">
      <w:pPr>
        <w:spacing w:before="480"/>
        <w:jc w:val="center"/>
        <w:rPr>
          <w:lang w:val="es-ES"/>
        </w:rPr>
      </w:pPr>
      <w:r w:rsidRPr="00AC68AC">
        <w:rPr>
          <w:lang w:val="es-ES"/>
        </w:rPr>
        <w:t>___________</w:t>
      </w:r>
    </w:p>
    <w:sectPr w:rsidR="00581CFE" w:rsidRPr="00AC68AC" w:rsidSect="0020095E">
      <w:headerReference w:type="default" r:id="rId21"/>
      <w:headerReference w:type="first" r:id="rId22"/>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1D3B0" w14:textId="77777777" w:rsidR="00C46BD6" w:rsidRDefault="00C46BD6">
      <w:r>
        <w:separator/>
      </w:r>
    </w:p>
    <w:p w14:paraId="3A32B851" w14:textId="77777777" w:rsidR="00C46BD6" w:rsidRDefault="00C46BD6"/>
    <w:p w14:paraId="46D5C9CD" w14:textId="77777777" w:rsidR="00C46BD6" w:rsidRDefault="00C46BD6"/>
  </w:endnote>
  <w:endnote w:type="continuationSeparator" w:id="0">
    <w:p w14:paraId="5BD2E9FE" w14:textId="77777777" w:rsidR="00C46BD6" w:rsidRDefault="00C46BD6">
      <w:r>
        <w:continuationSeparator/>
      </w:r>
    </w:p>
    <w:p w14:paraId="456796E8" w14:textId="77777777" w:rsidR="00C46BD6" w:rsidRDefault="00C46BD6"/>
    <w:p w14:paraId="32150FC2" w14:textId="77777777" w:rsidR="00C46BD6" w:rsidRDefault="00C46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26A20" w14:textId="77777777" w:rsidR="00C46BD6" w:rsidRDefault="00C46BD6">
      <w:r>
        <w:separator/>
      </w:r>
    </w:p>
  </w:footnote>
  <w:footnote w:type="continuationSeparator" w:id="0">
    <w:p w14:paraId="1ACB41D0" w14:textId="77777777" w:rsidR="00C46BD6" w:rsidRDefault="00C46BD6">
      <w:r>
        <w:continuationSeparator/>
      </w:r>
    </w:p>
    <w:p w14:paraId="02A883C3" w14:textId="77777777" w:rsidR="00C46BD6" w:rsidRDefault="00C46BD6"/>
    <w:p w14:paraId="15D36FFD" w14:textId="77777777" w:rsidR="00C46BD6" w:rsidRDefault="00C46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4441" w14:textId="38DC0BD4" w:rsidR="003C5AB0" w:rsidRDefault="003C5AB0" w:rsidP="007A7971">
    <w:pPr>
      <w:pStyle w:val="Header"/>
    </w:pPr>
    <w:r>
      <w:t>EC-7</w:t>
    </w:r>
    <w:r w:rsidR="00581CFE">
      <w:t>6</w:t>
    </w:r>
    <w:r>
      <w:t xml:space="preserve">/Doc. </w:t>
    </w:r>
    <w:r w:rsidR="00C46BD6">
      <w:t>3.2(22)</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ED1F"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4"/>
  </w:num>
  <w:num w:numId="3">
    <w:abstractNumId w:val="27"/>
  </w:num>
  <w:num w:numId="4">
    <w:abstractNumId w:val="36"/>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5"/>
  </w:num>
  <w:num w:numId="12">
    <w:abstractNumId w:val="11"/>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4"/>
  </w:num>
  <w:num w:numId="32">
    <w:abstractNumId w:val="39"/>
  </w:num>
  <w:num w:numId="33">
    <w:abstractNumId w:val="37"/>
  </w:num>
  <w:num w:numId="34">
    <w:abstractNumId w:val="24"/>
  </w:num>
  <w:num w:numId="35">
    <w:abstractNumId w:val="26"/>
  </w:num>
  <w:num w:numId="36">
    <w:abstractNumId w:val="43"/>
  </w:num>
  <w:num w:numId="37">
    <w:abstractNumId w:val="34"/>
  </w:num>
  <w:num w:numId="38">
    <w:abstractNumId w:val="12"/>
  </w:num>
  <w:num w:numId="39">
    <w:abstractNumId w:val="13"/>
  </w:num>
  <w:num w:numId="40">
    <w:abstractNumId w:val="15"/>
  </w:num>
  <w:num w:numId="41">
    <w:abstractNumId w:val="10"/>
  </w:num>
  <w:num w:numId="42">
    <w:abstractNumId w:val="41"/>
  </w:num>
  <w:num w:numId="43">
    <w:abstractNumId w:val="16"/>
  </w:num>
  <w:num w:numId="44">
    <w:abstractNumId w:val="2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D6"/>
    <w:rsid w:val="00001E4F"/>
    <w:rsid w:val="000120F1"/>
    <w:rsid w:val="000206A8"/>
    <w:rsid w:val="0003137A"/>
    <w:rsid w:val="00041171"/>
    <w:rsid w:val="00041727"/>
    <w:rsid w:val="0004226F"/>
    <w:rsid w:val="00050F8E"/>
    <w:rsid w:val="000573AD"/>
    <w:rsid w:val="00064F6B"/>
    <w:rsid w:val="00072F17"/>
    <w:rsid w:val="000806D8"/>
    <w:rsid w:val="00082C80"/>
    <w:rsid w:val="00083847"/>
    <w:rsid w:val="00083C36"/>
    <w:rsid w:val="00095E48"/>
    <w:rsid w:val="000A69BF"/>
    <w:rsid w:val="000C225A"/>
    <w:rsid w:val="000C6781"/>
    <w:rsid w:val="000F5E49"/>
    <w:rsid w:val="000F7A87"/>
    <w:rsid w:val="00105D2E"/>
    <w:rsid w:val="00111BFD"/>
    <w:rsid w:val="0011498B"/>
    <w:rsid w:val="00120147"/>
    <w:rsid w:val="00123140"/>
    <w:rsid w:val="00123D94"/>
    <w:rsid w:val="001527A3"/>
    <w:rsid w:val="00156F9B"/>
    <w:rsid w:val="00157949"/>
    <w:rsid w:val="00163BA3"/>
    <w:rsid w:val="00166B31"/>
    <w:rsid w:val="00180771"/>
    <w:rsid w:val="001930A3"/>
    <w:rsid w:val="00196EB8"/>
    <w:rsid w:val="001A0388"/>
    <w:rsid w:val="001A341E"/>
    <w:rsid w:val="001B0EA6"/>
    <w:rsid w:val="001B198E"/>
    <w:rsid w:val="001B1CDF"/>
    <w:rsid w:val="001B56F4"/>
    <w:rsid w:val="001C5462"/>
    <w:rsid w:val="001D265C"/>
    <w:rsid w:val="001D3062"/>
    <w:rsid w:val="001D3CFB"/>
    <w:rsid w:val="001D559B"/>
    <w:rsid w:val="001D6302"/>
    <w:rsid w:val="001E740C"/>
    <w:rsid w:val="001E7DD0"/>
    <w:rsid w:val="001F1BDA"/>
    <w:rsid w:val="0020095E"/>
    <w:rsid w:val="00210D30"/>
    <w:rsid w:val="002204FD"/>
    <w:rsid w:val="002308B5"/>
    <w:rsid w:val="00234A34"/>
    <w:rsid w:val="0024027B"/>
    <w:rsid w:val="0025255D"/>
    <w:rsid w:val="00255EE3"/>
    <w:rsid w:val="00266262"/>
    <w:rsid w:val="00270480"/>
    <w:rsid w:val="002779AF"/>
    <w:rsid w:val="002823D8"/>
    <w:rsid w:val="0028531A"/>
    <w:rsid w:val="00285446"/>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14D5D"/>
    <w:rsid w:val="00320009"/>
    <w:rsid w:val="00321584"/>
    <w:rsid w:val="0032424A"/>
    <w:rsid w:val="003245D3"/>
    <w:rsid w:val="00330AA3"/>
    <w:rsid w:val="00334987"/>
    <w:rsid w:val="00342E34"/>
    <w:rsid w:val="00344F8D"/>
    <w:rsid w:val="00371CF1"/>
    <w:rsid w:val="003750C1"/>
    <w:rsid w:val="00380AF7"/>
    <w:rsid w:val="00383F53"/>
    <w:rsid w:val="00394A05"/>
    <w:rsid w:val="00397770"/>
    <w:rsid w:val="00397880"/>
    <w:rsid w:val="003A3C12"/>
    <w:rsid w:val="003A7016"/>
    <w:rsid w:val="003C17A5"/>
    <w:rsid w:val="003C3C91"/>
    <w:rsid w:val="003C5AB0"/>
    <w:rsid w:val="003D1552"/>
    <w:rsid w:val="003D5A17"/>
    <w:rsid w:val="003E12AA"/>
    <w:rsid w:val="003E4046"/>
    <w:rsid w:val="003F003A"/>
    <w:rsid w:val="003F125B"/>
    <w:rsid w:val="003F7B3F"/>
    <w:rsid w:val="00402F84"/>
    <w:rsid w:val="0041078D"/>
    <w:rsid w:val="00412B52"/>
    <w:rsid w:val="00416F97"/>
    <w:rsid w:val="0043039B"/>
    <w:rsid w:val="004423FE"/>
    <w:rsid w:val="00445C35"/>
    <w:rsid w:val="00447D93"/>
    <w:rsid w:val="0045663A"/>
    <w:rsid w:val="0046344E"/>
    <w:rsid w:val="004667E7"/>
    <w:rsid w:val="00475797"/>
    <w:rsid w:val="00477916"/>
    <w:rsid w:val="0049253B"/>
    <w:rsid w:val="004A140B"/>
    <w:rsid w:val="004A6403"/>
    <w:rsid w:val="004B7BAA"/>
    <w:rsid w:val="004C2DF7"/>
    <w:rsid w:val="004C4E0B"/>
    <w:rsid w:val="004D497E"/>
    <w:rsid w:val="004E4809"/>
    <w:rsid w:val="004E5985"/>
    <w:rsid w:val="004E6352"/>
    <w:rsid w:val="004E6460"/>
    <w:rsid w:val="004F6B46"/>
    <w:rsid w:val="0050607D"/>
    <w:rsid w:val="00511999"/>
    <w:rsid w:val="00514EAC"/>
    <w:rsid w:val="0051500C"/>
    <w:rsid w:val="00521EA5"/>
    <w:rsid w:val="00523DCC"/>
    <w:rsid w:val="00525B80"/>
    <w:rsid w:val="00527225"/>
    <w:rsid w:val="0053098F"/>
    <w:rsid w:val="00536B2E"/>
    <w:rsid w:val="00546D8E"/>
    <w:rsid w:val="00553738"/>
    <w:rsid w:val="00562F19"/>
    <w:rsid w:val="00571AE1"/>
    <w:rsid w:val="00581CFE"/>
    <w:rsid w:val="00585ED5"/>
    <w:rsid w:val="00592267"/>
    <w:rsid w:val="0059421F"/>
    <w:rsid w:val="00596CF0"/>
    <w:rsid w:val="005A24CE"/>
    <w:rsid w:val="005B0AE2"/>
    <w:rsid w:val="005B1F2C"/>
    <w:rsid w:val="005B5F3C"/>
    <w:rsid w:val="005D03D9"/>
    <w:rsid w:val="005D1EE8"/>
    <w:rsid w:val="005D56AE"/>
    <w:rsid w:val="005D666D"/>
    <w:rsid w:val="005E3A59"/>
    <w:rsid w:val="00604802"/>
    <w:rsid w:val="00615AB0"/>
    <w:rsid w:val="00616340"/>
    <w:rsid w:val="0061778C"/>
    <w:rsid w:val="00633FDB"/>
    <w:rsid w:val="00636B90"/>
    <w:rsid w:val="006449B2"/>
    <w:rsid w:val="0064738B"/>
    <w:rsid w:val="006508EA"/>
    <w:rsid w:val="00667E86"/>
    <w:rsid w:val="0068392D"/>
    <w:rsid w:val="00697DB5"/>
    <w:rsid w:val="006A1B33"/>
    <w:rsid w:val="006A492A"/>
    <w:rsid w:val="006B26BC"/>
    <w:rsid w:val="006B5C72"/>
    <w:rsid w:val="006D0310"/>
    <w:rsid w:val="006D2009"/>
    <w:rsid w:val="006D5576"/>
    <w:rsid w:val="006E766D"/>
    <w:rsid w:val="006F4B29"/>
    <w:rsid w:val="006F6CE9"/>
    <w:rsid w:val="0070517C"/>
    <w:rsid w:val="00705C9F"/>
    <w:rsid w:val="00716951"/>
    <w:rsid w:val="00720F6B"/>
    <w:rsid w:val="00735D9E"/>
    <w:rsid w:val="00745A09"/>
    <w:rsid w:val="00746AF6"/>
    <w:rsid w:val="0074705D"/>
    <w:rsid w:val="00751EAF"/>
    <w:rsid w:val="00754CF7"/>
    <w:rsid w:val="00757B0D"/>
    <w:rsid w:val="00761320"/>
    <w:rsid w:val="0076135A"/>
    <w:rsid w:val="007651B1"/>
    <w:rsid w:val="00771A68"/>
    <w:rsid w:val="007744D2"/>
    <w:rsid w:val="00786136"/>
    <w:rsid w:val="007A7971"/>
    <w:rsid w:val="007C212A"/>
    <w:rsid w:val="007E2A53"/>
    <w:rsid w:val="007E7D21"/>
    <w:rsid w:val="007F482F"/>
    <w:rsid w:val="007F7C94"/>
    <w:rsid w:val="008010D0"/>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81D52"/>
    <w:rsid w:val="00881EC4"/>
    <w:rsid w:val="0089601F"/>
    <w:rsid w:val="008A7313"/>
    <w:rsid w:val="008A7D91"/>
    <w:rsid w:val="008B7FC7"/>
    <w:rsid w:val="008C4337"/>
    <w:rsid w:val="008C4F06"/>
    <w:rsid w:val="008E1E4A"/>
    <w:rsid w:val="008F0615"/>
    <w:rsid w:val="008F103E"/>
    <w:rsid w:val="008F1FDB"/>
    <w:rsid w:val="008F36FB"/>
    <w:rsid w:val="009015EA"/>
    <w:rsid w:val="0090427F"/>
    <w:rsid w:val="00920506"/>
    <w:rsid w:val="00931DEB"/>
    <w:rsid w:val="00933957"/>
    <w:rsid w:val="00950605"/>
    <w:rsid w:val="00952233"/>
    <w:rsid w:val="00954D66"/>
    <w:rsid w:val="009559E0"/>
    <w:rsid w:val="00963F8F"/>
    <w:rsid w:val="00973C62"/>
    <w:rsid w:val="00975D76"/>
    <w:rsid w:val="00982E51"/>
    <w:rsid w:val="009874B9"/>
    <w:rsid w:val="00993581"/>
    <w:rsid w:val="009A288C"/>
    <w:rsid w:val="009A2EC3"/>
    <w:rsid w:val="009A64C1"/>
    <w:rsid w:val="009B4673"/>
    <w:rsid w:val="009B6697"/>
    <w:rsid w:val="009C2EA4"/>
    <w:rsid w:val="009C4C04"/>
    <w:rsid w:val="009E2BBD"/>
    <w:rsid w:val="009F7566"/>
    <w:rsid w:val="00A06BFE"/>
    <w:rsid w:val="00A10F5D"/>
    <w:rsid w:val="00A1243C"/>
    <w:rsid w:val="00A135AE"/>
    <w:rsid w:val="00A14AF1"/>
    <w:rsid w:val="00A16891"/>
    <w:rsid w:val="00A268CE"/>
    <w:rsid w:val="00A332E8"/>
    <w:rsid w:val="00A35AF5"/>
    <w:rsid w:val="00A35DDF"/>
    <w:rsid w:val="00A36CBA"/>
    <w:rsid w:val="00A40ADF"/>
    <w:rsid w:val="00A41E35"/>
    <w:rsid w:val="00A45741"/>
    <w:rsid w:val="00A50291"/>
    <w:rsid w:val="00A530E4"/>
    <w:rsid w:val="00A604CD"/>
    <w:rsid w:val="00A60FE6"/>
    <w:rsid w:val="00A622F5"/>
    <w:rsid w:val="00A654BE"/>
    <w:rsid w:val="00A66DD6"/>
    <w:rsid w:val="00A75DDF"/>
    <w:rsid w:val="00A771FD"/>
    <w:rsid w:val="00A81FEE"/>
    <w:rsid w:val="00A874EF"/>
    <w:rsid w:val="00A95415"/>
    <w:rsid w:val="00AA3C89"/>
    <w:rsid w:val="00AA4235"/>
    <w:rsid w:val="00AB32BD"/>
    <w:rsid w:val="00AB4723"/>
    <w:rsid w:val="00AC4CDB"/>
    <w:rsid w:val="00AC68AC"/>
    <w:rsid w:val="00AC70FE"/>
    <w:rsid w:val="00AD33A8"/>
    <w:rsid w:val="00AD4358"/>
    <w:rsid w:val="00AF61E1"/>
    <w:rsid w:val="00AF638A"/>
    <w:rsid w:val="00B00141"/>
    <w:rsid w:val="00B009AA"/>
    <w:rsid w:val="00B01B02"/>
    <w:rsid w:val="00B030C8"/>
    <w:rsid w:val="00B056E7"/>
    <w:rsid w:val="00B05B71"/>
    <w:rsid w:val="00B10035"/>
    <w:rsid w:val="00B15C76"/>
    <w:rsid w:val="00B165E6"/>
    <w:rsid w:val="00B1763B"/>
    <w:rsid w:val="00B235DB"/>
    <w:rsid w:val="00B31C07"/>
    <w:rsid w:val="00B347B9"/>
    <w:rsid w:val="00B4340B"/>
    <w:rsid w:val="00B447C0"/>
    <w:rsid w:val="00B50A3E"/>
    <w:rsid w:val="00B5229B"/>
    <w:rsid w:val="00B548A2"/>
    <w:rsid w:val="00B56934"/>
    <w:rsid w:val="00B60B89"/>
    <w:rsid w:val="00B62F03"/>
    <w:rsid w:val="00B72444"/>
    <w:rsid w:val="00B93B62"/>
    <w:rsid w:val="00B953D1"/>
    <w:rsid w:val="00BA30D0"/>
    <w:rsid w:val="00BA6E7D"/>
    <w:rsid w:val="00BB0D32"/>
    <w:rsid w:val="00BB6E3B"/>
    <w:rsid w:val="00BC63B7"/>
    <w:rsid w:val="00BC6F2F"/>
    <w:rsid w:val="00BC76B5"/>
    <w:rsid w:val="00BD5420"/>
    <w:rsid w:val="00C04BD2"/>
    <w:rsid w:val="00C13EEC"/>
    <w:rsid w:val="00C14689"/>
    <w:rsid w:val="00C156A4"/>
    <w:rsid w:val="00C20FAA"/>
    <w:rsid w:val="00C2459D"/>
    <w:rsid w:val="00C316F1"/>
    <w:rsid w:val="00C42C95"/>
    <w:rsid w:val="00C4470F"/>
    <w:rsid w:val="00C45ED1"/>
    <w:rsid w:val="00C46BD6"/>
    <w:rsid w:val="00C55E5B"/>
    <w:rsid w:val="00C57D64"/>
    <w:rsid w:val="00C62739"/>
    <w:rsid w:val="00C720A4"/>
    <w:rsid w:val="00C7611C"/>
    <w:rsid w:val="00C94097"/>
    <w:rsid w:val="00C97BD7"/>
    <w:rsid w:val="00CA1E9B"/>
    <w:rsid w:val="00CA4269"/>
    <w:rsid w:val="00CA7330"/>
    <w:rsid w:val="00CB1C84"/>
    <w:rsid w:val="00CB64F0"/>
    <w:rsid w:val="00CC2909"/>
    <w:rsid w:val="00CD0549"/>
    <w:rsid w:val="00CD536B"/>
    <w:rsid w:val="00CE5DD1"/>
    <w:rsid w:val="00CF40BF"/>
    <w:rsid w:val="00D05E6F"/>
    <w:rsid w:val="00D14624"/>
    <w:rsid w:val="00D24F2A"/>
    <w:rsid w:val="00D27929"/>
    <w:rsid w:val="00D33442"/>
    <w:rsid w:val="00D44BAD"/>
    <w:rsid w:val="00D45B55"/>
    <w:rsid w:val="00D7097B"/>
    <w:rsid w:val="00D91DFA"/>
    <w:rsid w:val="00D9361B"/>
    <w:rsid w:val="00DA159A"/>
    <w:rsid w:val="00DA4CFF"/>
    <w:rsid w:val="00DB1AB2"/>
    <w:rsid w:val="00DC4FDF"/>
    <w:rsid w:val="00DC66F0"/>
    <w:rsid w:val="00DD2F0E"/>
    <w:rsid w:val="00DD3A65"/>
    <w:rsid w:val="00DD62C6"/>
    <w:rsid w:val="00DE7137"/>
    <w:rsid w:val="00E00498"/>
    <w:rsid w:val="00E14ADB"/>
    <w:rsid w:val="00E2617A"/>
    <w:rsid w:val="00E31CD4"/>
    <w:rsid w:val="00E47778"/>
    <w:rsid w:val="00E538E6"/>
    <w:rsid w:val="00E802A2"/>
    <w:rsid w:val="00E85C0B"/>
    <w:rsid w:val="00E91C3C"/>
    <w:rsid w:val="00EB13D7"/>
    <w:rsid w:val="00EB1E83"/>
    <w:rsid w:val="00EC7CF5"/>
    <w:rsid w:val="00ED22CB"/>
    <w:rsid w:val="00ED67AF"/>
    <w:rsid w:val="00ED709D"/>
    <w:rsid w:val="00EE128C"/>
    <w:rsid w:val="00EE4C48"/>
    <w:rsid w:val="00EF66D9"/>
    <w:rsid w:val="00EF68E3"/>
    <w:rsid w:val="00EF6BA5"/>
    <w:rsid w:val="00EF780D"/>
    <w:rsid w:val="00EF7A98"/>
    <w:rsid w:val="00F0267E"/>
    <w:rsid w:val="00F0460E"/>
    <w:rsid w:val="00F11B47"/>
    <w:rsid w:val="00F25D8D"/>
    <w:rsid w:val="00F44CCB"/>
    <w:rsid w:val="00F474C9"/>
    <w:rsid w:val="00F5126B"/>
    <w:rsid w:val="00F54EA3"/>
    <w:rsid w:val="00F5693C"/>
    <w:rsid w:val="00F6063F"/>
    <w:rsid w:val="00F61675"/>
    <w:rsid w:val="00F6686B"/>
    <w:rsid w:val="00F67F74"/>
    <w:rsid w:val="00F712B3"/>
    <w:rsid w:val="00F73DE3"/>
    <w:rsid w:val="00F744BF"/>
    <w:rsid w:val="00F75784"/>
    <w:rsid w:val="00F77219"/>
    <w:rsid w:val="00F84DD2"/>
    <w:rsid w:val="00FA4ECF"/>
    <w:rsid w:val="00FB0872"/>
    <w:rsid w:val="00FB54CC"/>
    <w:rsid w:val="00FC009F"/>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F27F48"/>
  <w15:docId w15:val="{154B771A-44AD-4574-99C6-52E8A2C8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11485" TargetMode="External"/><Relationship Id="rId18" Type="http://schemas.openxmlformats.org/officeDocument/2006/relationships/hyperlink" Target="https://community.wmo.int/activity-areas/imop/Regional_Instrument_Centr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brary.wmo.int/index.php?lvl=notice_display&amp;id=14073" TargetMode="External"/><Relationship Id="rId17" Type="http://schemas.openxmlformats.org/officeDocument/2006/relationships/hyperlink" Target="https://meetings.wmo.int/INFCOM-2/_layouts/15/WopiFrame.aspx?sourcedoc=/INFCOM-2/Spanish/2.%20VERSI%C3%93N%20PROVISIONAL%20DEL%20INFORME%20(Documentos%20aprobados)/INFCOM-2-d06-2(3)-INSTRUMENT-CENTRES-approved_es.docx&amp;action=default" TargetMode="External"/><Relationship Id="rId2" Type="http://schemas.openxmlformats.org/officeDocument/2006/relationships/customXml" Target="../customXml/item2.xml"/><Relationship Id="rId16" Type="http://schemas.openxmlformats.org/officeDocument/2006/relationships/hyperlink" Target="https://library.wmo.int/index.php?lvl=notice_display&amp;id=14073" TargetMode="External"/><Relationship Id="rId20" Type="http://schemas.openxmlformats.org/officeDocument/2006/relationships/hyperlink" Target="https://library.wmo.int/doc_num.php?explnum_id=110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doc_num.php?explnum_id=1103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wmo.int/index.php?lvl=notice_display&amp;id=140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030"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C997-AFE9-4FD5-8B67-4DD00902483D}">
  <ds:schemaRefs>
    <ds:schemaRef ds:uri="http://schemas.openxmlformats.org/package/2006/metadata/core-properties"/>
    <ds:schemaRef ds:uri="http://schemas.microsoft.com/office/infopath/2007/PartnerControls"/>
    <ds:schemaRef ds:uri="ce21bc6c-711a-4065-a01c-a8f0e29e3ad8"/>
    <ds:schemaRef ds:uri="http://purl.org/dc/dcmitype/"/>
    <ds:schemaRef ds:uri="http://purl.org/dc/terms/"/>
    <ds:schemaRef ds:uri="http://purl.org/dc/elements/1.1/"/>
    <ds:schemaRef ds:uri="http://schemas.microsoft.com/office/2006/documentManagement/types"/>
    <ds:schemaRef ds:uri="3679bf0f-1d7e-438f-afa5-6ebf1e20f9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77E7FA5-20C5-4468-9702-18CAF2AA599E}"/>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A5C4E51A-7778-4FE1-995F-F0669B0C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EC-76-dxx-Template_es.dotx</Template>
  <TotalTime>85</TotalTime>
  <Pages>4</Pages>
  <Words>862</Words>
  <Characters>4924</Characters>
  <Application>Microsoft Office Word</Application>
  <DocSecurity>0</DocSecurity>
  <Lines>114</Lines>
  <Paragraphs>48</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5750</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Elena Vicente</cp:lastModifiedBy>
  <cp:revision>36</cp:revision>
  <cp:lastPrinted>2013-03-12T09:27:00Z</cp:lastPrinted>
  <dcterms:created xsi:type="dcterms:W3CDTF">2023-01-17T13:04:00Z</dcterms:created>
  <dcterms:modified xsi:type="dcterms:W3CDTF">2023-01-17T14:56:00Z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